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image/x-emf" PartName="/word/media/image1.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eastAsia="黑体"/>
          <w:bCs/>
          <w:color w:val="FF0000"/>
          <w:sz w:val="44"/>
          <w:szCs w:val="44"/>
        </w:rPr>
      </w:pPr>
      <w:r>
        <w:rPr>
          <w:rFonts w:hint="eastAsia" w:eastAsia="黑体"/>
          <w:bCs/>
          <w:color w:val="FF0000"/>
          <w:sz w:val="44"/>
          <w:szCs w:val="44"/>
        </w:rPr>
        <w:t>绿色建造与建筑工业化</w:t>
      </w:r>
    </w:p>
    <w:p>
      <w:pPr>
        <w:jc w:val="center"/>
        <w:rPr>
          <w:rFonts w:eastAsia="黑体"/>
          <w:bCs/>
          <w:color w:val="FF0000"/>
          <w:sz w:val="44"/>
          <w:szCs w:val="44"/>
        </w:rPr>
      </w:pPr>
      <w:r>
        <w:rPr>
          <w:rFonts w:eastAsia="黑体"/>
          <w:bCs/>
          <w:color w:val="FF0000"/>
          <w:sz w:val="44"/>
          <w:szCs w:val="44"/>
        </w:rPr>
        <w:t>2015年全国土木工程研究生学术论坛</w:t>
      </w:r>
    </w:p>
    <w:p>
      <w:pPr>
        <w:autoSpaceDE w:val="0"/>
        <w:autoSpaceDN w:val="0"/>
        <w:adjustRightInd w:val="0"/>
        <w:jc w:val="center"/>
        <w:rPr>
          <w:rFonts w:eastAsia="黑体"/>
          <w:color w:val="FF0000"/>
          <w:kern w:val="0"/>
          <w:sz w:val="20"/>
          <w:szCs w:val="20"/>
        </w:rPr>
      </w:pPr>
      <w:r>
        <w:rPr>
          <w:rFonts w:eastAsia="黑体"/>
          <w:b/>
          <w:bCs/>
          <w:color w:val="FF0000"/>
          <w:kern w:val="0"/>
          <w:sz w:val="24"/>
        </w:rPr>
        <w:t>National Civil Engineering Forum for Graduate Students - NCEF 20</w:t>
      </w:r>
      <w:r>
        <w:rPr>
          <w:rFonts w:hint="eastAsia" w:eastAsia="黑体"/>
          <w:b/>
          <w:bCs/>
          <w:color w:val="FF0000"/>
          <w:kern w:val="0"/>
          <w:sz w:val="24"/>
        </w:rPr>
        <w:t>1</w:t>
      </w:r>
      <w:r>
        <w:rPr>
          <w:rFonts w:eastAsia="黑体"/>
          <w:b/>
          <w:bCs/>
          <w:color w:val="FF0000"/>
          <w:kern w:val="0"/>
          <w:sz w:val="24"/>
        </w:rPr>
        <w:t>5</w:t>
      </w:r>
    </w:p>
    <w:p>
      <w:pPr>
        <w:spacing w:beforeLines="50" w:line="360" w:lineRule="auto"/>
        <w:jc w:val="center"/>
        <w:rPr>
          <w:rFonts w:hint="eastAsia"/>
          <w:b/>
          <w:bCs/>
          <w:color w:val="FF0000"/>
          <w:sz w:val="28"/>
          <w:szCs w:val="32"/>
        </w:rPr>
      </w:pPr>
      <w:r>
        <w:rPr>
          <w:b/>
          <w:color w:val="FF0000"/>
          <w:sz w:val="28"/>
          <w:szCs w:val="32"/>
        </w:rPr>
        <w:t>2015年</w:t>
      </w:r>
      <w:r>
        <w:rPr>
          <w:rFonts w:hint="eastAsia"/>
          <w:b/>
          <w:color w:val="FF0000"/>
          <w:sz w:val="28"/>
          <w:szCs w:val="32"/>
        </w:rPr>
        <w:t>12</w:t>
      </w:r>
      <w:r>
        <w:rPr>
          <w:b/>
          <w:color w:val="FF0000"/>
          <w:sz w:val="28"/>
          <w:szCs w:val="32"/>
        </w:rPr>
        <w:t>月</w:t>
      </w:r>
      <w:r>
        <w:rPr>
          <w:rFonts w:hint="eastAsia"/>
          <w:b/>
          <w:color w:val="FF0000"/>
          <w:sz w:val="28"/>
          <w:szCs w:val="32"/>
        </w:rPr>
        <w:t>11-13日</w:t>
      </w:r>
      <w:r>
        <w:rPr>
          <w:b/>
          <w:color w:val="FF0000"/>
          <w:sz w:val="28"/>
          <w:szCs w:val="32"/>
        </w:rPr>
        <w:t>，</w:t>
      </w:r>
      <w:r>
        <w:rPr>
          <w:b/>
          <w:bCs/>
          <w:color w:val="FF0000"/>
          <w:sz w:val="28"/>
          <w:szCs w:val="32"/>
        </w:rPr>
        <w:t xml:space="preserve">中国 </w:t>
      </w:r>
      <w:r>
        <w:rPr>
          <w:b/>
          <w:bCs/>
          <w:color w:val="FF0000"/>
          <w:sz w:val="28"/>
          <w:szCs w:val="32"/>
        </w:rPr>
        <w:sym w:font="Symbol" w:char="F0B7"/>
      </w:r>
      <w:r>
        <w:rPr>
          <w:b/>
          <w:bCs/>
          <w:color w:val="FF0000"/>
          <w:sz w:val="28"/>
          <w:szCs w:val="32"/>
        </w:rPr>
        <w:t xml:space="preserve"> </w:t>
      </w:r>
      <w:r>
        <w:rPr>
          <w:rFonts w:hint="eastAsia"/>
          <w:b/>
          <w:bCs/>
          <w:color w:val="FF0000"/>
          <w:sz w:val="28"/>
          <w:szCs w:val="32"/>
        </w:rPr>
        <w:t>重庆</w:t>
      </w:r>
    </w:p>
    <w:p>
      <w:pPr>
        <w:spacing w:after="100" w:afterAutospacing="1" w:line="360" w:lineRule="auto"/>
        <w:jc w:val="center"/>
        <w:rPr>
          <w:b/>
          <w:color w:val="FF0000"/>
          <w:sz w:val="28"/>
          <w:szCs w:val="32"/>
        </w:rPr>
      </w:pPr>
      <w:r>
        <w:rPr>
          <w:b/>
          <w:color w:val="FF0000"/>
          <w:sz w:val="28"/>
          <w:szCs w:val="32"/>
        </w:rPr>
        <w:t>第</w:t>
      </w:r>
      <w:r>
        <w:rPr>
          <w:rFonts w:hint="eastAsia"/>
          <w:b/>
          <w:color w:val="FF0000"/>
          <w:sz w:val="28"/>
          <w:szCs w:val="32"/>
        </w:rPr>
        <w:t>一</w:t>
      </w:r>
      <w:r>
        <w:rPr>
          <w:b/>
          <w:color w:val="FF0000"/>
          <w:sz w:val="28"/>
          <w:szCs w:val="32"/>
        </w:rPr>
        <w:t>号通知</w:t>
      </w:r>
      <w:r>
        <w:rPr>
          <w:rFonts w:ascii="Times New Roman" w:hAnsi="Times New Roman" w:eastAsia="宋体" w:cs="Times New Roman"/>
          <w:b/>
          <w:color w:val="FF0000"/>
          <w:kern w:val="2"/>
          <w:sz w:val="28"/>
          <w:szCs w:val="32"/>
          <w:lang w:val="en-US" w:eastAsia="zh-CN" w:bidi="ar-SA"/>
        </w:rPr>
        <w:pict>
          <v:line id="直线 2" o:spid="_x0000_s1026" style="position:absolute;left:0;margin-left:0pt;margin-top:32.8pt;height:0.05pt;width:459pt;rotation:0f;z-index:251658240;" o:ole="f" fillcolor="#FFFFFF" filled="f" o:preferrelative="t" stroked="t" coordsize="21600,21600">
            <v:fill on="f" color2="#FFFFFF" focus="0%"/>
            <v:stroke weight="1pt" color="#FF0000" color2="#FFFFFF" miterlimit="2"/>
            <v:imagedata gain="65536f" blacklevel="0f" gamma="0"/>
            <o:lock v:ext="edit" position="f" selection="f" grouping="f" rotation="f" cropping="f" text="f" aspectratio="f"/>
          </v:line>
        </w:pict>
      </w:r>
      <w:r>
        <w:rPr>
          <w:b/>
          <w:color w:val="FF0000"/>
          <w:sz w:val="28"/>
          <w:szCs w:val="32"/>
        </w:rPr>
        <w:t>（</w:t>
      </w:r>
      <w:r>
        <w:rPr>
          <w:rFonts w:hint="eastAsia"/>
          <w:b/>
          <w:color w:val="FF0000"/>
          <w:sz w:val="28"/>
          <w:szCs w:val="32"/>
        </w:rPr>
        <w:t>征文通知</w:t>
      </w:r>
      <w:r>
        <w:rPr>
          <w:b/>
          <w:color w:val="FF0000"/>
          <w:sz w:val="28"/>
          <w:szCs w:val="32"/>
        </w:rPr>
        <w:t>）</w:t>
      </w:r>
      <w:bookmarkStart w:id="0" w:name="_GoBack"/>
      <w:bookmarkEnd w:id="0"/>
    </w:p>
    <w:p>
      <w:pPr>
        <w:widowControl/>
        <w:wordWrap w:val="0"/>
        <w:spacing w:line="360" w:lineRule="atLeast"/>
        <w:ind w:firstLine="480"/>
        <w:jc w:val="left"/>
        <w:rPr>
          <w:kern w:val="0"/>
          <w:sz w:val="18"/>
          <w:szCs w:val="18"/>
        </w:rPr>
      </w:pPr>
      <w:r>
        <w:rPr>
          <w:kern w:val="0"/>
          <w:sz w:val="24"/>
        </w:rPr>
        <w:t>全国土木工程</w:t>
      </w:r>
      <w:r>
        <w:rPr>
          <w:rFonts w:hint="eastAsia"/>
          <w:kern w:val="0"/>
          <w:sz w:val="24"/>
        </w:rPr>
        <w:t>研究</w:t>
      </w:r>
      <w:r>
        <w:rPr>
          <w:kern w:val="0"/>
          <w:sz w:val="24"/>
        </w:rPr>
        <w:t>生学术论坛是我国研究生教育创新工程项目，由教育部学位管理与研究生教育司和中国土木工程学会教育工作委员会主办，旨在加强全国土木工程学科各专业研究生之间互相学习和交流，为广大研究生提供展示精神风貌和才华的舞台。该论坛现已成为土木工程学科研究生的学术交流及创新基地。201</w:t>
      </w:r>
      <w:r>
        <w:rPr>
          <w:rFonts w:hint="eastAsia"/>
          <w:kern w:val="0"/>
          <w:sz w:val="24"/>
        </w:rPr>
        <w:t>5</w:t>
      </w:r>
      <w:r>
        <w:rPr>
          <w:kern w:val="0"/>
          <w:sz w:val="24"/>
        </w:rPr>
        <w:t>年全国土木工程</w:t>
      </w:r>
      <w:r>
        <w:rPr>
          <w:rFonts w:hint="eastAsia"/>
          <w:kern w:val="0"/>
          <w:sz w:val="24"/>
        </w:rPr>
        <w:t>研究生</w:t>
      </w:r>
      <w:r>
        <w:rPr>
          <w:kern w:val="0"/>
          <w:sz w:val="24"/>
        </w:rPr>
        <w:t>学术论坛由</w:t>
      </w:r>
      <w:r>
        <w:rPr>
          <w:rFonts w:hint="eastAsia"/>
          <w:kern w:val="0"/>
          <w:sz w:val="24"/>
        </w:rPr>
        <w:t>重庆大学土木工程学院和山地城镇建设安全与防灾协同创新中心</w:t>
      </w:r>
      <w:r>
        <w:rPr>
          <w:kern w:val="0"/>
          <w:sz w:val="24"/>
        </w:rPr>
        <w:t>承办。</w:t>
      </w:r>
    </w:p>
    <w:p>
      <w:pPr>
        <w:widowControl/>
        <w:wordWrap w:val="0"/>
        <w:spacing w:line="360" w:lineRule="atLeast"/>
        <w:ind w:firstLine="480"/>
        <w:jc w:val="left"/>
        <w:rPr>
          <w:rFonts w:hint="eastAsia"/>
          <w:kern w:val="0"/>
          <w:sz w:val="24"/>
        </w:rPr>
      </w:pPr>
      <w:r>
        <w:rPr>
          <w:kern w:val="0"/>
          <w:sz w:val="24"/>
        </w:rPr>
        <w:t>21世纪是</w:t>
      </w:r>
      <w:r>
        <w:rPr>
          <w:rFonts w:hint="eastAsia"/>
          <w:kern w:val="0"/>
          <w:sz w:val="24"/>
        </w:rPr>
        <w:t>绿色经济</w:t>
      </w:r>
      <w:r>
        <w:rPr>
          <w:kern w:val="0"/>
          <w:sz w:val="24"/>
        </w:rPr>
        <w:t>时代，</w:t>
      </w:r>
      <w:r>
        <w:rPr>
          <w:rFonts w:hint="eastAsia"/>
          <w:kern w:val="0"/>
          <w:sz w:val="24"/>
        </w:rPr>
        <w:t>然而传统土木工程行业在促进我国经济快速发展、提高人民生活水平的同时，也消耗了大量的自然资源，造成严重的污染，带来巨大的环境压力。土木工程行业可持续发展既面临巨大挑战，又面临新的巨大发展机会。如何持续不断的推进技术创新，推动“绿色建造与建筑产业化”，实现产业转型升级，是摆在广大土木工程科技工作者面前的重要课题</w:t>
      </w:r>
      <w:r>
        <w:rPr>
          <w:kern w:val="0"/>
          <w:sz w:val="24"/>
        </w:rPr>
        <w:t>。今后一个</w:t>
      </w:r>
      <w:r>
        <w:rPr>
          <w:rFonts w:hint="eastAsia"/>
          <w:kern w:val="0"/>
          <w:sz w:val="24"/>
        </w:rPr>
        <w:t>相当长的</w:t>
      </w:r>
      <w:r>
        <w:rPr>
          <w:kern w:val="0"/>
          <w:sz w:val="24"/>
        </w:rPr>
        <w:t>时期，</w:t>
      </w:r>
      <w:r>
        <w:rPr>
          <w:rFonts w:hint="eastAsia"/>
          <w:kern w:val="0"/>
          <w:sz w:val="24"/>
        </w:rPr>
        <w:t>国家和社会将致力于大力推进建筑产业现代化，深度开发基于建筑全生命周期的绿色建筑以及实现互联网、大数据、</w:t>
      </w:r>
      <w:r>
        <w:rPr>
          <w:kern w:val="0"/>
          <w:sz w:val="24"/>
        </w:rPr>
        <w:t>BIM</w:t>
      </w:r>
      <w:r>
        <w:rPr>
          <w:rFonts w:hint="eastAsia"/>
          <w:kern w:val="0"/>
          <w:sz w:val="24"/>
        </w:rPr>
        <w:t>等信息化技术与传统技术的深度融合，在新型安全节能建筑结构体系、环保耐久材料以及“零排放”绿色施工等领域，攻克诸多技术难题，树立诸多适应绿色经济的新观念和新共识。作为未来的土木工程行业的新生力量，广大研究生同学理应对此有更深入的理解和探索。因此，绿色建造与建筑产业化</w:t>
      </w:r>
      <w:r>
        <w:rPr>
          <w:kern w:val="0"/>
          <w:sz w:val="24"/>
        </w:rPr>
        <w:t>是本届学术论坛主题。</w:t>
      </w:r>
    </w:p>
    <w:p>
      <w:pPr>
        <w:widowControl/>
        <w:wordWrap w:val="0"/>
        <w:spacing w:line="360" w:lineRule="atLeast"/>
        <w:ind w:firstLine="480"/>
        <w:jc w:val="left"/>
        <w:rPr>
          <w:kern w:val="0"/>
          <w:sz w:val="18"/>
          <w:szCs w:val="18"/>
          <w:highlight w:val="yellow"/>
        </w:rPr>
      </w:pPr>
      <w:r>
        <w:rPr>
          <w:rFonts w:hint="eastAsia"/>
          <w:kern w:val="0"/>
          <w:sz w:val="24"/>
        </w:rPr>
        <w:t>论坛期间</w:t>
      </w:r>
      <w:r>
        <w:rPr>
          <w:kern w:val="0"/>
          <w:sz w:val="24"/>
        </w:rPr>
        <w:t>，将邀请全国土木工程领域博士</w:t>
      </w:r>
      <w:r>
        <w:rPr>
          <w:rFonts w:hint="eastAsia"/>
          <w:kern w:val="0"/>
          <w:sz w:val="24"/>
        </w:rPr>
        <w:t>和优秀</w:t>
      </w:r>
      <w:r>
        <w:rPr>
          <w:kern w:val="0"/>
          <w:sz w:val="24"/>
        </w:rPr>
        <w:t>硕士</w:t>
      </w:r>
      <w:r>
        <w:rPr>
          <w:rFonts w:hint="eastAsia"/>
          <w:kern w:val="0"/>
          <w:sz w:val="24"/>
        </w:rPr>
        <w:t>研究</w:t>
      </w:r>
      <w:r>
        <w:rPr>
          <w:kern w:val="0"/>
          <w:sz w:val="24"/>
        </w:rPr>
        <w:t>生、部分院士和专家学者，针对</w:t>
      </w:r>
      <w:r>
        <w:rPr>
          <w:rFonts w:hint="eastAsia"/>
          <w:kern w:val="0"/>
          <w:sz w:val="24"/>
        </w:rPr>
        <w:t>绿色建造与建筑产业化领域的问题</w:t>
      </w:r>
      <w:r>
        <w:rPr>
          <w:kern w:val="0"/>
          <w:sz w:val="24"/>
        </w:rPr>
        <w:t>进行深入的学术交流与研讨。论坛将为全国土木工程领域</w:t>
      </w:r>
      <w:r>
        <w:rPr>
          <w:rFonts w:hint="eastAsia"/>
          <w:kern w:val="0"/>
          <w:sz w:val="24"/>
        </w:rPr>
        <w:t>研究</w:t>
      </w:r>
      <w:r>
        <w:rPr>
          <w:kern w:val="0"/>
          <w:sz w:val="24"/>
        </w:rPr>
        <w:t>生丰富知识、探索科学前沿问题，提供高水平全国性学术交流平台。</w:t>
      </w:r>
    </w:p>
    <w:p>
      <w:pPr>
        <w:spacing w:line="300" w:lineRule="auto"/>
        <w:ind w:firstLine="420"/>
        <w:rPr>
          <w:sz w:val="24"/>
          <w:szCs w:val="28"/>
        </w:rPr>
      </w:pPr>
    </w:p>
    <w:p>
      <w:pPr>
        <w:numPr>
          <w:ilvl w:val="0"/>
          <w:numId w:val="1"/>
        </w:numPr>
        <w:spacing w:line="360" w:lineRule="auto"/>
        <w:rPr>
          <w:rFonts w:eastAsia="黑体"/>
          <w:bCs/>
          <w:sz w:val="32"/>
          <w:szCs w:val="32"/>
        </w:rPr>
      </w:pPr>
      <w:r>
        <w:rPr>
          <w:rFonts w:eastAsia="黑体"/>
          <w:bCs/>
          <w:sz w:val="32"/>
          <w:szCs w:val="32"/>
        </w:rPr>
        <w:t>组织机构</w:t>
      </w:r>
    </w:p>
    <w:p>
      <w:pPr>
        <w:spacing w:line="300" w:lineRule="auto"/>
        <w:ind w:firstLine="420"/>
        <w:rPr>
          <w:sz w:val="24"/>
          <w:szCs w:val="28"/>
        </w:rPr>
      </w:pPr>
      <w:r>
        <w:rPr>
          <w:rFonts w:eastAsia="黑体"/>
          <w:sz w:val="24"/>
          <w:szCs w:val="28"/>
        </w:rPr>
        <w:t>主办单位</w:t>
      </w:r>
      <w:r>
        <w:rPr>
          <w:sz w:val="24"/>
          <w:szCs w:val="28"/>
        </w:rPr>
        <w:t>：教育部学位管理与研究生教育司</w:t>
      </w:r>
    </w:p>
    <w:p>
      <w:pPr>
        <w:spacing w:line="300" w:lineRule="auto"/>
        <w:ind w:firstLine="420"/>
        <w:rPr>
          <w:rFonts w:eastAsia="黑体"/>
          <w:sz w:val="24"/>
          <w:szCs w:val="28"/>
        </w:rPr>
      </w:pPr>
      <w:r>
        <w:rPr>
          <w:sz w:val="24"/>
          <w:szCs w:val="28"/>
        </w:rPr>
        <w:t xml:space="preserve">          中国土木工程学会教育工作委员会</w:t>
      </w:r>
    </w:p>
    <w:p>
      <w:pPr>
        <w:spacing w:line="300" w:lineRule="auto"/>
        <w:ind w:firstLine="420"/>
        <w:rPr>
          <w:sz w:val="24"/>
          <w:szCs w:val="28"/>
        </w:rPr>
      </w:pPr>
      <w:r>
        <w:rPr>
          <w:rFonts w:eastAsia="黑体"/>
          <w:sz w:val="24"/>
          <w:szCs w:val="28"/>
        </w:rPr>
        <w:t>承办单位</w:t>
      </w:r>
      <w:r>
        <w:rPr>
          <w:sz w:val="24"/>
          <w:szCs w:val="28"/>
        </w:rPr>
        <w:t>：</w:t>
      </w:r>
      <w:r>
        <w:rPr>
          <w:rFonts w:hint="eastAsia"/>
          <w:sz w:val="24"/>
          <w:szCs w:val="28"/>
        </w:rPr>
        <w:t>重庆</w:t>
      </w:r>
      <w:r>
        <w:rPr>
          <w:sz w:val="24"/>
          <w:szCs w:val="28"/>
        </w:rPr>
        <w:t>大学</w:t>
      </w:r>
    </w:p>
    <w:p>
      <w:pPr>
        <w:spacing w:line="300" w:lineRule="auto"/>
        <w:rPr>
          <w:rFonts w:hint="eastAsia"/>
          <w:sz w:val="24"/>
          <w:szCs w:val="28"/>
        </w:rPr>
      </w:pPr>
    </w:p>
    <w:p>
      <w:pPr>
        <w:numPr>
          <w:ilvl w:val="0"/>
          <w:numId w:val="1"/>
        </w:numPr>
        <w:spacing w:line="360" w:lineRule="auto"/>
        <w:rPr>
          <w:rFonts w:eastAsia="黑体"/>
          <w:bCs/>
          <w:sz w:val="32"/>
          <w:szCs w:val="32"/>
        </w:rPr>
      </w:pPr>
      <w:r>
        <w:rPr>
          <w:rFonts w:eastAsia="黑体"/>
          <w:bCs/>
          <w:sz w:val="32"/>
          <w:szCs w:val="32"/>
        </w:rPr>
        <w:t>征文对象</w:t>
      </w:r>
    </w:p>
    <w:p>
      <w:pPr>
        <w:widowControl/>
        <w:wordWrap w:val="0"/>
        <w:spacing w:line="360" w:lineRule="atLeast"/>
        <w:ind w:firstLine="360" w:firstLineChars="150"/>
        <w:jc w:val="left"/>
        <w:rPr>
          <w:rFonts w:hint="eastAsia"/>
          <w:kern w:val="0"/>
          <w:sz w:val="24"/>
        </w:rPr>
      </w:pPr>
      <w:r>
        <w:rPr>
          <w:kern w:val="0"/>
          <w:sz w:val="24"/>
        </w:rPr>
        <w:t>全国各高校及科研院所在读博士研究生及优秀硕士研究生（含港澳台和留学生）。</w:t>
      </w:r>
    </w:p>
    <w:p>
      <w:pPr>
        <w:widowControl/>
        <w:wordWrap w:val="0"/>
        <w:spacing w:line="360" w:lineRule="atLeast"/>
        <w:ind w:firstLine="360" w:firstLineChars="150"/>
        <w:jc w:val="left"/>
        <w:rPr>
          <w:rFonts w:hint="eastAsia"/>
          <w:kern w:val="0"/>
          <w:sz w:val="24"/>
        </w:rPr>
      </w:pPr>
    </w:p>
    <w:p>
      <w:pPr>
        <w:numPr>
          <w:ilvl w:val="0"/>
          <w:numId w:val="1"/>
        </w:numPr>
        <w:spacing w:line="360" w:lineRule="auto"/>
        <w:rPr>
          <w:rFonts w:eastAsia="黑体"/>
          <w:bCs/>
          <w:sz w:val="32"/>
          <w:szCs w:val="32"/>
        </w:rPr>
      </w:pPr>
      <w:r>
        <w:rPr>
          <w:rFonts w:eastAsia="黑体"/>
          <w:bCs/>
          <w:sz w:val="32"/>
          <w:szCs w:val="32"/>
        </w:rPr>
        <w:t>征文范围</w:t>
      </w:r>
    </w:p>
    <w:p>
      <w:pPr>
        <w:widowControl/>
        <w:wordWrap w:val="0"/>
        <w:spacing w:line="360" w:lineRule="atLeast"/>
        <w:ind w:firstLine="480" w:firstLineChars="200"/>
        <w:jc w:val="left"/>
        <w:rPr>
          <w:kern w:val="0"/>
          <w:sz w:val="18"/>
          <w:szCs w:val="18"/>
        </w:rPr>
      </w:pPr>
      <w:r>
        <w:rPr>
          <w:kern w:val="0"/>
          <w:sz w:val="24"/>
        </w:rPr>
        <w:t>􀂾 岩土工程</w:t>
      </w:r>
    </w:p>
    <w:p>
      <w:pPr>
        <w:widowControl/>
        <w:wordWrap w:val="0"/>
        <w:spacing w:line="360" w:lineRule="atLeast"/>
        <w:ind w:firstLine="480" w:firstLineChars="200"/>
        <w:jc w:val="left"/>
        <w:rPr>
          <w:kern w:val="0"/>
          <w:sz w:val="18"/>
          <w:szCs w:val="18"/>
        </w:rPr>
      </w:pPr>
      <w:r>
        <w:rPr>
          <w:kern w:val="0"/>
          <w:sz w:val="24"/>
        </w:rPr>
        <w:t>􀂾 结构工程</w:t>
      </w:r>
    </w:p>
    <w:p>
      <w:pPr>
        <w:widowControl/>
        <w:wordWrap w:val="0"/>
        <w:spacing w:line="360" w:lineRule="atLeast"/>
        <w:ind w:firstLine="480" w:firstLineChars="200"/>
        <w:jc w:val="left"/>
        <w:rPr>
          <w:kern w:val="0"/>
          <w:sz w:val="18"/>
          <w:szCs w:val="18"/>
        </w:rPr>
      </w:pPr>
      <w:r>
        <w:rPr>
          <w:kern w:val="0"/>
          <w:sz w:val="24"/>
        </w:rPr>
        <w:t>􀂾 防灾减灾及防护工程</w:t>
      </w:r>
    </w:p>
    <w:p>
      <w:pPr>
        <w:widowControl/>
        <w:wordWrap w:val="0"/>
        <w:spacing w:line="360" w:lineRule="atLeast"/>
        <w:ind w:firstLine="480" w:firstLineChars="200"/>
        <w:jc w:val="left"/>
        <w:rPr>
          <w:kern w:val="0"/>
          <w:sz w:val="18"/>
          <w:szCs w:val="18"/>
        </w:rPr>
      </w:pPr>
      <w:r>
        <w:rPr>
          <w:kern w:val="0"/>
          <w:sz w:val="24"/>
        </w:rPr>
        <w:t>􀂾 桥梁与隧道工程</w:t>
      </w:r>
    </w:p>
    <w:p>
      <w:pPr>
        <w:widowControl/>
        <w:wordWrap w:val="0"/>
        <w:spacing w:line="360" w:lineRule="atLeast"/>
        <w:ind w:firstLine="480" w:firstLineChars="200"/>
        <w:jc w:val="left"/>
        <w:rPr>
          <w:kern w:val="0"/>
          <w:sz w:val="18"/>
          <w:szCs w:val="18"/>
        </w:rPr>
      </w:pPr>
      <w:r>
        <w:rPr>
          <w:kern w:val="0"/>
          <w:sz w:val="24"/>
        </w:rPr>
        <w:t>􀂾 建筑材料</w:t>
      </w:r>
    </w:p>
    <w:p>
      <w:pPr>
        <w:widowControl/>
        <w:wordWrap w:val="0"/>
        <w:spacing w:line="360" w:lineRule="atLeast"/>
        <w:ind w:firstLine="480" w:firstLineChars="200"/>
        <w:jc w:val="left"/>
        <w:rPr>
          <w:kern w:val="0"/>
          <w:sz w:val="18"/>
          <w:szCs w:val="18"/>
        </w:rPr>
      </w:pPr>
      <w:r>
        <w:rPr>
          <w:kern w:val="0"/>
          <w:sz w:val="24"/>
        </w:rPr>
        <w:t>􀂾 建筑施工技术及管理</w:t>
      </w:r>
    </w:p>
    <w:p>
      <w:pPr>
        <w:widowControl/>
        <w:wordWrap w:val="0"/>
        <w:spacing w:line="360" w:lineRule="atLeast"/>
        <w:ind w:firstLine="480" w:firstLineChars="200"/>
        <w:jc w:val="left"/>
        <w:rPr>
          <w:kern w:val="0"/>
          <w:sz w:val="18"/>
          <w:szCs w:val="18"/>
        </w:rPr>
      </w:pPr>
      <w:r>
        <w:rPr>
          <w:kern w:val="0"/>
          <w:sz w:val="24"/>
        </w:rPr>
        <w:t>􀂾 水利水电工程</w:t>
      </w:r>
    </w:p>
    <w:p>
      <w:pPr>
        <w:widowControl/>
        <w:wordWrap w:val="0"/>
        <w:spacing w:line="360" w:lineRule="atLeast"/>
        <w:ind w:firstLine="480" w:firstLineChars="200"/>
        <w:jc w:val="left"/>
        <w:rPr>
          <w:kern w:val="0"/>
          <w:sz w:val="18"/>
          <w:szCs w:val="18"/>
        </w:rPr>
      </w:pPr>
      <w:r>
        <w:rPr>
          <w:kern w:val="0"/>
          <w:sz w:val="24"/>
        </w:rPr>
        <w:t>􀂾 港口、海岸及近海工程</w:t>
      </w:r>
    </w:p>
    <w:p>
      <w:pPr>
        <w:widowControl/>
        <w:wordWrap w:val="0"/>
        <w:spacing w:line="360" w:lineRule="atLeast"/>
        <w:ind w:firstLine="480" w:firstLineChars="200"/>
        <w:jc w:val="left"/>
        <w:rPr>
          <w:kern w:val="0"/>
          <w:sz w:val="18"/>
          <w:szCs w:val="18"/>
        </w:rPr>
      </w:pPr>
      <w:r>
        <w:rPr>
          <w:kern w:val="0"/>
          <w:sz w:val="24"/>
        </w:rPr>
        <w:t>􀂾 水工结构</w:t>
      </w:r>
    </w:p>
    <w:p>
      <w:pPr>
        <w:widowControl/>
        <w:wordWrap w:val="0"/>
        <w:spacing w:line="360" w:lineRule="atLeast"/>
        <w:ind w:firstLine="480" w:firstLineChars="200"/>
        <w:jc w:val="left"/>
        <w:rPr>
          <w:kern w:val="0"/>
          <w:sz w:val="18"/>
          <w:szCs w:val="18"/>
        </w:rPr>
      </w:pPr>
      <w:r>
        <w:rPr>
          <w:kern w:val="0"/>
          <w:sz w:val="24"/>
        </w:rPr>
        <w:t>􀂾 道路与铁道工程</w:t>
      </w:r>
    </w:p>
    <w:p>
      <w:pPr>
        <w:widowControl/>
        <w:wordWrap w:val="0"/>
        <w:spacing w:line="360" w:lineRule="atLeast"/>
        <w:ind w:firstLine="480" w:firstLineChars="200"/>
        <w:jc w:val="left"/>
        <w:rPr>
          <w:rFonts w:hint="eastAsia"/>
          <w:kern w:val="0"/>
          <w:sz w:val="24"/>
        </w:rPr>
      </w:pPr>
      <w:r>
        <w:rPr>
          <w:kern w:val="0"/>
          <w:sz w:val="24"/>
        </w:rPr>
        <w:t>􀂾 其他土木工程相关学科</w:t>
      </w:r>
    </w:p>
    <w:p>
      <w:pPr>
        <w:widowControl/>
        <w:wordWrap w:val="0"/>
        <w:spacing w:line="360" w:lineRule="atLeast"/>
        <w:ind w:firstLine="480" w:firstLineChars="200"/>
        <w:jc w:val="left"/>
        <w:rPr>
          <w:rFonts w:hint="eastAsia"/>
          <w:kern w:val="0"/>
          <w:sz w:val="24"/>
        </w:rPr>
      </w:pPr>
    </w:p>
    <w:p>
      <w:pPr>
        <w:numPr>
          <w:ilvl w:val="0"/>
          <w:numId w:val="1"/>
        </w:numPr>
        <w:spacing w:line="360" w:lineRule="auto"/>
        <w:rPr>
          <w:rFonts w:eastAsia="黑体"/>
          <w:bCs/>
          <w:sz w:val="32"/>
          <w:szCs w:val="32"/>
        </w:rPr>
      </w:pPr>
      <w:r>
        <w:rPr>
          <w:rFonts w:eastAsia="黑体"/>
          <w:bCs/>
          <w:sz w:val="32"/>
          <w:szCs w:val="32"/>
        </w:rPr>
        <w:t>重要日期</w:t>
      </w:r>
    </w:p>
    <w:p>
      <w:pPr>
        <w:widowControl/>
        <w:wordWrap w:val="0"/>
        <w:spacing w:line="360" w:lineRule="atLeast"/>
        <w:ind w:firstLine="480" w:firstLineChars="200"/>
        <w:jc w:val="left"/>
        <w:rPr>
          <w:kern w:val="0"/>
          <w:sz w:val="24"/>
        </w:rPr>
      </w:pPr>
      <w:r>
        <w:rPr>
          <w:kern w:val="0"/>
          <w:sz w:val="24"/>
        </w:rPr>
        <w:t>论文提交截止：201</w:t>
      </w:r>
      <w:r>
        <w:rPr>
          <w:rFonts w:hint="eastAsia"/>
          <w:kern w:val="0"/>
          <w:sz w:val="24"/>
        </w:rPr>
        <w:t>5</w:t>
      </w:r>
      <w:r>
        <w:rPr>
          <w:kern w:val="0"/>
          <w:sz w:val="24"/>
        </w:rPr>
        <w:t> 年</w:t>
      </w:r>
      <w:r>
        <w:rPr>
          <w:rFonts w:hint="eastAsia"/>
          <w:kern w:val="0"/>
          <w:sz w:val="24"/>
        </w:rPr>
        <w:t>11</w:t>
      </w:r>
      <w:r>
        <w:rPr>
          <w:kern w:val="0"/>
          <w:sz w:val="24"/>
        </w:rPr>
        <w:t>月</w:t>
      </w:r>
      <w:r>
        <w:rPr>
          <w:rFonts w:hint="eastAsia"/>
          <w:kern w:val="0"/>
          <w:sz w:val="24"/>
        </w:rPr>
        <w:t>10</w:t>
      </w:r>
      <w:r>
        <w:rPr>
          <w:kern w:val="0"/>
          <w:sz w:val="24"/>
        </w:rPr>
        <w:t>日</w:t>
      </w:r>
    </w:p>
    <w:p>
      <w:pPr>
        <w:widowControl/>
        <w:wordWrap w:val="0"/>
        <w:spacing w:line="360" w:lineRule="atLeast"/>
        <w:ind w:firstLine="480" w:firstLineChars="200"/>
        <w:jc w:val="left"/>
        <w:rPr>
          <w:rFonts w:hint="eastAsia"/>
          <w:kern w:val="0"/>
          <w:sz w:val="24"/>
        </w:rPr>
      </w:pPr>
      <w:r>
        <w:rPr>
          <w:kern w:val="0"/>
          <w:sz w:val="24"/>
        </w:rPr>
        <w:t>论文录用通知：201</w:t>
      </w:r>
      <w:r>
        <w:rPr>
          <w:rFonts w:hint="eastAsia"/>
          <w:kern w:val="0"/>
          <w:sz w:val="24"/>
        </w:rPr>
        <w:t>5</w:t>
      </w:r>
      <w:r>
        <w:rPr>
          <w:kern w:val="0"/>
          <w:sz w:val="24"/>
        </w:rPr>
        <w:t>年</w:t>
      </w:r>
      <w:r>
        <w:rPr>
          <w:rFonts w:hint="eastAsia"/>
          <w:kern w:val="0"/>
          <w:sz w:val="24"/>
        </w:rPr>
        <w:t>11</w:t>
      </w:r>
      <w:r>
        <w:rPr>
          <w:kern w:val="0"/>
          <w:sz w:val="24"/>
        </w:rPr>
        <w:t>月20日</w:t>
      </w:r>
    </w:p>
    <w:p>
      <w:pPr>
        <w:widowControl/>
        <w:wordWrap w:val="0"/>
        <w:spacing w:line="360" w:lineRule="atLeast"/>
        <w:ind w:firstLine="480" w:firstLineChars="200"/>
        <w:jc w:val="left"/>
        <w:rPr>
          <w:rFonts w:hint="eastAsia"/>
          <w:kern w:val="0"/>
          <w:sz w:val="24"/>
        </w:rPr>
      </w:pPr>
      <w:r>
        <w:rPr>
          <w:rFonts w:hint="eastAsia"/>
          <w:kern w:val="0"/>
          <w:sz w:val="24"/>
        </w:rPr>
        <w:t>论坛举办日期：2015年12月11日-13日，11日报到注册，12-13日会议。</w:t>
      </w:r>
    </w:p>
    <w:p>
      <w:pPr>
        <w:widowControl/>
        <w:wordWrap w:val="0"/>
        <w:spacing w:line="360" w:lineRule="atLeast"/>
        <w:ind w:firstLine="480" w:firstLineChars="200"/>
        <w:jc w:val="left"/>
        <w:rPr>
          <w:kern w:val="0"/>
          <w:sz w:val="24"/>
        </w:rPr>
      </w:pPr>
    </w:p>
    <w:p>
      <w:pPr>
        <w:numPr>
          <w:ilvl w:val="0"/>
          <w:numId w:val="1"/>
        </w:numPr>
        <w:spacing w:line="360" w:lineRule="auto"/>
        <w:rPr>
          <w:rFonts w:eastAsia="黑体"/>
          <w:bCs/>
          <w:sz w:val="32"/>
          <w:szCs w:val="32"/>
        </w:rPr>
      </w:pPr>
      <w:r>
        <w:rPr>
          <w:rFonts w:eastAsia="黑体"/>
          <w:bCs/>
          <w:sz w:val="32"/>
          <w:szCs w:val="32"/>
        </w:rPr>
        <w:t>重要事宜</w:t>
      </w:r>
    </w:p>
    <w:p>
      <w:pPr>
        <w:widowControl/>
        <w:wordWrap w:val="0"/>
        <w:spacing w:line="360" w:lineRule="atLeast"/>
        <w:ind w:firstLine="600" w:firstLineChars="250"/>
        <w:jc w:val="left"/>
        <w:rPr>
          <w:rFonts w:hint="eastAsia"/>
          <w:kern w:val="0"/>
          <w:sz w:val="24"/>
        </w:rPr>
      </w:pPr>
      <w:r>
        <w:rPr>
          <w:rFonts w:hint="eastAsia" w:eastAsia="黑体"/>
          <w:kern w:val="0"/>
          <w:sz w:val="24"/>
        </w:rPr>
        <w:t>参会代表：</w:t>
      </w:r>
      <w:r>
        <w:rPr>
          <w:rFonts w:hint="eastAsia"/>
          <w:kern w:val="0"/>
          <w:sz w:val="24"/>
        </w:rPr>
        <w:t>仅限于提交了论文且论文被大会正式接收的学生及其指导教师。</w:t>
      </w:r>
    </w:p>
    <w:p>
      <w:pPr>
        <w:widowControl/>
        <w:wordWrap w:val="0"/>
        <w:spacing w:line="360" w:lineRule="atLeast"/>
        <w:ind w:firstLine="600" w:firstLineChars="250"/>
        <w:jc w:val="left"/>
        <w:rPr>
          <w:rFonts w:hint="eastAsia" w:eastAsia="黑体"/>
          <w:kern w:val="0"/>
          <w:sz w:val="24"/>
        </w:rPr>
      </w:pPr>
      <w:r>
        <w:rPr>
          <w:rFonts w:hint="eastAsia" w:eastAsia="黑体"/>
          <w:kern w:val="0"/>
          <w:sz w:val="24"/>
        </w:rPr>
        <w:t>论坛报名</w:t>
      </w:r>
      <w:r>
        <w:rPr>
          <w:rFonts w:hint="eastAsia"/>
          <w:kern w:val="0"/>
          <w:sz w:val="24"/>
        </w:rPr>
        <w:t>：请通过电子邮件报名，邮箱地址：</w:t>
      </w:r>
      <w:r>
        <w:rPr>
          <w:kern w:val="0"/>
          <w:sz w:val="24"/>
        </w:rPr>
        <w:t>ncef201</w:t>
      </w:r>
      <w:r>
        <w:rPr>
          <w:rFonts w:hint="eastAsia"/>
          <w:kern w:val="0"/>
          <w:sz w:val="24"/>
        </w:rPr>
        <w:t>5</w:t>
      </w:r>
      <w:r>
        <w:rPr>
          <w:kern w:val="0"/>
          <w:sz w:val="24"/>
        </w:rPr>
        <w:t>@163.com。</w:t>
      </w:r>
      <w:r>
        <w:rPr>
          <w:rFonts w:hint="eastAsia"/>
          <w:kern w:val="0"/>
          <w:sz w:val="24"/>
        </w:rPr>
        <w:t>报名邮件主题格式：学校-论文主要学生作者-申请参会人数（例如：重庆大学-叶鹏-1）。请务必通过报名邮件向组委会提交以下两个附件：1）投稿论文全文（格式要求见附件1）；2）参会回执（见表1）。组委会收到报名邮件以及论文和回执后，会回复确认收到报名。</w:t>
      </w:r>
    </w:p>
    <w:p>
      <w:pPr>
        <w:widowControl/>
        <w:wordWrap w:val="0"/>
        <w:spacing w:line="360" w:lineRule="atLeast"/>
        <w:ind w:firstLine="600" w:firstLineChars="250"/>
        <w:jc w:val="left"/>
        <w:rPr>
          <w:rFonts w:hint="eastAsia" w:eastAsia="黑体"/>
          <w:kern w:val="0"/>
          <w:sz w:val="24"/>
        </w:rPr>
      </w:pPr>
      <w:r>
        <w:rPr>
          <w:rFonts w:eastAsia="黑体"/>
          <w:kern w:val="0"/>
          <w:sz w:val="24"/>
        </w:rPr>
        <w:t>交通费用</w:t>
      </w:r>
      <w:r>
        <w:rPr>
          <w:rFonts w:hint="eastAsia" w:eastAsia="黑体"/>
          <w:kern w:val="0"/>
          <w:sz w:val="24"/>
        </w:rPr>
        <w:t>：</w:t>
      </w:r>
      <w:r>
        <w:rPr>
          <w:kern w:val="0"/>
          <w:sz w:val="24"/>
        </w:rPr>
        <w:t>往返交通费</w:t>
      </w:r>
      <w:r>
        <w:rPr>
          <w:rFonts w:hint="eastAsia"/>
          <w:kern w:val="0"/>
          <w:sz w:val="24"/>
        </w:rPr>
        <w:t>由参会代表</w:t>
      </w:r>
      <w:r>
        <w:rPr>
          <w:kern w:val="0"/>
          <w:sz w:val="24"/>
        </w:rPr>
        <w:t>自理。</w:t>
      </w:r>
    </w:p>
    <w:p>
      <w:pPr>
        <w:widowControl/>
        <w:wordWrap w:val="0"/>
        <w:spacing w:line="360" w:lineRule="atLeast"/>
        <w:ind w:firstLine="600" w:firstLineChars="250"/>
        <w:jc w:val="left"/>
        <w:rPr>
          <w:kern w:val="0"/>
          <w:sz w:val="24"/>
        </w:rPr>
      </w:pPr>
      <w:r>
        <w:rPr>
          <w:rFonts w:hint="eastAsia" w:eastAsia="黑体"/>
          <w:kern w:val="0"/>
          <w:sz w:val="24"/>
        </w:rPr>
        <w:t>食宿</w:t>
      </w:r>
      <w:r>
        <w:rPr>
          <w:rFonts w:eastAsia="黑体"/>
          <w:kern w:val="0"/>
          <w:sz w:val="24"/>
        </w:rPr>
        <w:t>费用</w:t>
      </w:r>
      <w:r>
        <w:rPr>
          <w:rFonts w:hint="eastAsia" w:eastAsia="黑体"/>
          <w:kern w:val="0"/>
          <w:sz w:val="24"/>
        </w:rPr>
        <w:t>：</w:t>
      </w:r>
      <w:r>
        <w:rPr>
          <w:rFonts w:hint="eastAsia"/>
          <w:kern w:val="0"/>
          <w:sz w:val="24"/>
        </w:rPr>
        <w:t>会议期间学生食宿免费，由重庆大学统一安排。</w:t>
      </w:r>
    </w:p>
    <w:p>
      <w:pPr>
        <w:widowControl/>
        <w:wordWrap w:val="0"/>
        <w:spacing w:line="360" w:lineRule="atLeast"/>
        <w:ind w:firstLine="600" w:firstLineChars="250"/>
        <w:jc w:val="left"/>
        <w:rPr>
          <w:kern w:val="0"/>
          <w:sz w:val="18"/>
          <w:szCs w:val="18"/>
        </w:rPr>
      </w:pPr>
      <w:r>
        <w:rPr>
          <w:rFonts w:eastAsia="黑体"/>
          <w:kern w:val="0"/>
          <w:sz w:val="24"/>
        </w:rPr>
        <w:t>论文格式</w:t>
      </w:r>
      <w:r>
        <w:rPr>
          <w:rFonts w:hint="eastAsia" w:eastAsia="黑体"/>
          <w:kern w:val="0"/>
          <w:sz w:val="24"/>
        </w:rPr>
        <w:t>：</w:t>
      </w:r>
      <w:r>
        <w:rPr>
          <w:kern w:val="0"/>
          <w:sz w:val="24"/>
        </w:rPr>
        <w:t>请严格按照</w:t>
      </w:r>
      <w:r>
        <w:rPr>
          <w:rFonts w:hint="eastAsia"/>
          <w:kern w:val="0"/>
          <w:sz w:val="24"/>
        </w:rPr>
        <w:t>《土木建筑与环境工程》</w:t>
      </w:r>
      <w:r>
        <w:rPr>
          <w:kern w:val="0"/>
          <w:sz w:val="24"/>
        </w:rPr>
        <w:t>格式要求，</w:t>
      </w:r>
      <w:r>
        <w:rPr>
          <w:rFonts w:hint="eastAsia"/>
          <w:kern w:val="0"/>
          <w:sz w:val="24"/>
        </w:rPr>
        <w:t>见附件1。格式不符合要求的，组委会不予接收。</w:t>
      </w:r>
    </w:p>
    <w:p>
      <w:pPr>
        <w:widowControl/>
        <w:wordWrap w:val="0"/>
        <w:spacing w:line="360" w:lineRule="atLeast"/>
        <w:ind w:firstLine="600" w:firstLineChars="250"/>
        <w:jc w:val="left"/>
        <w:rPr>
          <w:kern w:val="0"/>
          <w:sz w:val="18"/>
          <w:szCs w:val="18"/>
        </w:rPr>
      </w:pPr>
      <w:r>
        <w:rPr>
          <w:rFonts w:hint="eastAsia" w:eastAsia="黑体"/>
          <w:kern w:val="0"/>
          <w:sz w:val="24"/>
        </w:rPr>
        <w:t>交流形式：</w:t>
      </w:r>
      <w:r>
        <w:rPr>
          <w:kern w:val="0"/>
          <w:sz w:val="24"/>
        </w:rPr>
        <w:t>据专家评审意见，在来稿中评选出大会宣读论文和大会张贴论文。大会宣读论文须提交论文全文；大会张贴论文须提交论文全文和POST。</w:t>
      </w:r>
    </w:p>
    <w:p>
      <w:pPr>
        <w:widowControl/>
        <w:wordWrap w:val="0"/>
        <w:spacing w:line="360" w:lineRule="atLeast"/>
        <w:ind w:firstLine="600" w:firstLineChars="250"/>
        <w:jc w:val="left"/>
        <w:rPr>
          <w:rFonts w:hint="eastAsia"/>
          <w:b/>
          <w:color w:val="FF0000"/>
          <w:kern w:val="0"/>
          <w:sz w:val="24"/>
        </w:rPr>
      </w:pPr>
      <w:r>
        <w:rPr>
          <w:rFonts w:hint="eastAsia" w:eastAsia="黑体"/>
          <w:kern w:val="0"/>
          <w:sz w:val="24"/>
        </w:rPr>
        <w:t>论文集</w:t>
      </w:r>
      <w:r>
        <w:rPr>
          <w:rFonts w:hint="eastAsia"/>
          <w:kern w:val="0"/>
          <w:sz w:val="24"/>
        </w:rPr>
        <w:t>：</w:t>
      </w:r>
      <w:r>
        <w:rPr>
          <w:kern w:val="0"/>
          <w:sz w:val="24"/>
        </w:rPr>
        <w:t>大会将论文编辑成集</w:t>
      </w:r>
      <w:r>
        <w:rPr>
          <w:rFonts w:hint="eastAsia"/>
          <w:kern w:val="0"/>
          <w:sz w:val="24"/>
        </w:rPr>
        <w:t>出版，大会结束后将精选论文在《土木建筑与环境工程》增刊正式出版。</w:t>
      </w:r>
    </w:p>
    <w:p>
      <w:pPr>
        <w:widowControl/>
        <w:wordWrap w:val="0"/>
        <w:spacing w:line="360" w:lineRule="atLeast"/>
        <w:ind w:left="600"/>
        <w:jc w:val="left"/>
        <w:rPr>
          <w:rFonts w:hint="eastAsia"/>
          <w:kern w:val="0"/>
          <w:sz w:val="24"/>
        </w:rPr>
      </w:pPr>
      <w:r>
        <w:rPr>
          <w:rFonts w:eastAsia="黑体"/>
          <w:kern w:val="0"/>
          <w:sz w:val="24"/>
        </w:rPr>
        <w:t>论坛</w:t>
      </w:r>
      <w:r>
        <w:rPr>
          <w:rFonts w:hint="eastAsia" w:eastAsia="黑体"/>
          <w:kern w:val="0"/>
          <w:sz w:val="24"/>
        </w:rPr>
        <w:t>奖项：</w:t>
      </w:r>
      <w:r>
        <w:rPr>
          <w:rFonts w:hint="eastAsia"/>
          <w:kern w:val="0"/>
          <w:sz w:val="24"/>
        </w:rPr>
        <w:t>论坛</w:t>
      </w:r>
      <w:r>
        <w:rPr>
          <w:kern w:val="0"/>
          <w:sz w:val="24"/>
        </w:rPr>
        <w:t>将设立以下奖项：优秀论文奖、最佳学术创意奖、最佳表达奖</w:t>
      </w:r>
      <w:r>
        <w:rPr>
          <w:rFonts w:hint="eastAsia"/>
          <w:kern w:val="0"/>
          <w:sz w:val="24"/>
        </w:rPr>
        <w:t>等</w:t>
      </w:r>
      <w:r>
        <w:rPr>
          <w:kern w:val="0"/>
          <w:sz w:val="24"/>
        </w:rPr>
        <w:t>。</w:t>
      </w:r>
      <w:r>
        <w:rPr>
          <w:rFonts w:hint="eastAsia" w:eastAsia="黑体"/>
          <w:kern w:val="0"/>
          <w:sz w:val="24"/>
        </w:rPr>
        <w:t>活动安排：</w:t>
      </w:r>
      <w:r>
        <w:rPr>
          <w:kern w:val="0"/>
          <w:sz w:val="24"/>
        </w:rPr>
        <w:t>会议期间还拟组织参观</w:t>
      </w:r>
      <w:r>
        <w:rPr>
          <w:rFonts w:hint="eastAsia"/>
          <w:kern w:val="0"/>
          <w:sz w:val="24"/>
        </w:rPr>
        <w:t>、考察</w:t>
      </w:r>
      <w:r>
        <w:rPr>
          <w:kern w:val="0"/>
          <w:sz w:val="24"/>
        </w:rPr>
        <w:t>等活动。</w:t>
      </w:r>
    </w:p>
    <w:p>
      <w:pPr>
        <w:widowControl/>
        <w:wordWrap w:val="0"/>
        <w:spacing w:line="360" w:lineRule="atLeast"/>
        <w:ind w:left="600"/>
        <w:jc w:val="left"/>
        <w:rPr>
          <w:rFonts w:hint="eastAsia"/>
          <w:kern w:val="0"/>
          <w:sz w:val="18"/>
          <w:szCs w:val="18"/>
        </w:rPr>
      </w:pPr>
    </w:p>
    <w:p>
      <w:pPr>
        <w:widowControl/>
        <w:wordWrap w:val="0"/>
        <w:spacing w:line="360" w:lineRule="atLeast"/>
        <w:ind w:left="600"/>
        <w:jc w:val="left"/>
        <w:rPr>
          <w:kern w:val="0"/>
          <w:sz w:val="18"/>
          <w:szCs w:val="18"/>
        </w:rPr>
      </w:pPr>
    </w:p>
    <w:p>
      <w:pPr>
        <w:numPr>
          <w:ilvl w:val="0"/>
          <w:numId w:val="1"/>
        </w:numPr>
        <w:spacing w:line="360" w:lineRule="auto"/>
        <w:rPr>
          <w:rFonts w:eastAsia="黑体"/>
          <w:bCs/>
          <w:sz w:val="32"/>
          <w:szCs w:val="32"/>
        </w:rPr>
      </w:pPr>
      <w:r>
        <w:rPr>
          <w:rFonts w:eastAsia="黑体"/>
          <w:bCs/>
          <w:sz w:val="32"/>
          <w:szCs w:val="32"/>
        </w:rPr>
        <w:t>联系方式</w:t>
      </w:r>
    </w:p>
    <w:p>
      <w:pPr>
        <w:widowControl/>
        <w:wordWrap w:val="0"/>
        <w:spacing w:line="360" w:lineRule="atLeast"/>
        <w:jc w:val="left"/>
        <w:rPr>
          <w:kern w:val="0"/>
          <w:sz w:val="18"/>
          <w:szCs w:val="18"/>
        </w:rPr>
      </w:pPr>
      <w:r>
        <w:rPr>
          <w:kern w:val="0"/>
          <w:sz w:val="24"/>
        </w:rPr>
        <w:t>通讯地址</w:t>
      </w:r>
      <w:r>
        <w:rPr>
          <w:rFonts w:hint="eastAsia"/>
          <w:kern w:val="0"/>
          <w:sz w:val="24"/>
        </w:rPr>
        <w:t>：重庆</w:t>
      </w:r>
      <w:r>
        <w:rPr>
          <w:rFonts w:ascii="宋体" w:hAnsi="宋体"/>
          <w:sz w:val="24"/>
        </w:rPr>
        <w:t>市</w:t>
      </w:r>
      <w:r>
        <w:rPr>
          <w:rFonts w:hint="eastAsia" w:ascii="宋体" w:hAnsi="宋体"/>
          <w:sz w:val="24"/>
        </w:rPr>
        <w:t>沙坪坝区沙北街83</w:t>
      </w:r>
      <w:r>
        <w:rPr>
          <w:rFonts w:ascii="宋体" w:hAnsi="宋体"/>
          <w:sz w:val="24"/>
        </w:rPr>
        <w:t>号</w:t>
      </w:r>
      <w:r>
        <w:rPr>
          <w:rFonts w:hint="eastAsia" w:ascii="宋体" w:hAnsi="宋体"/>
          <w:sz w:val="24"/>
        </w:rPr>
        <w:t>重庆大学土木工程学院</w:t>
      </w:r>
    </w:p>
    <w:p>
      <w:pPr>
        <w:widowControl/>
        <w:wordWrap w:val="0"/>
        <w:spacing w:line="360" w:lineRule="atLeast"/>
        <w:jc w:val="left"/>
        <w:rPr>
          <w:kern w:val="0"/>
          <w:sz w:val="18"/>
          <w:szCs w:val="18"/>
        </w:rPr>
      </w:pPr>
      <w:r>
        <w:rPr>
          <w:kern w:val="0"/>
          <w:sz w:val="24"/>
        </w:rPr>
        <w:t>邮政编码：</w:t>
      </w:r>
      <w:r>
        <w:rPr>
          <w:rFonts w:hint="eastAsia"/>
          <w:kern w:val="0"/>
          <w:sz w:val="24"/>
        </w:rPr>
        <w:t>400045</w:t>
      </w:r>
    </w:p>
    <w:p>
      <w:pPr>
        <w:widowControl/>
        <w:jc w:val="left"/>
        <w:rPr>
          <w:rFonts w:hint="eastAsia" w:ascii="宋体" w:hAnsi="宋体" w:cs="宋体"/>
          <w:kern w:val="0"/>
          <w:sz w:val="24"/>
        </w:rPr>
      </w:pPr>
      <w:r>
        <w:rPr>
          <w:rFonts w:hint="eastAsia"/>
          <w:kern w:val="0"/>
          <w:sz w:val="24"/>
        </w:rPr>
        <w:t>电子邮件：</w:t>
      </w:r>
      <w:r>
        <w:rPr>
          <w:rFonts w:ascii="宋体" w:hAnsi="宋体" w:cs="宋体"/>
          <w:kern w:val="0"/>
          <w:sz w:val="24"/>
        </w:rPr>
        <w:t>ncef2015@163.com</w:t>
      </w:r>
      <w:r>
        <w:rPr>
          <w:rFonts w:hint="eastAsia" w:ascii="宋体" w:hAnsi="宋体" w:cs="宋体"/>
          <w:kern w:val="0"/>
          <w:sz w:val="24"/>
        </w:rPr>
        <w:t xml:space="preserve"> </w:t>
      </w:r>
      <w:r>
        <w:rPr>
          <w:rFonts w:hint="eastAsia"/>
          <w:kern w:val="0"/>
          <w:sz w:val="24"/>
        </w:rPr>
        <w:t xml:space="preserve"> （</w:t>
      </w:r>
      <w:r>
        <w:rPr>
          <w:rFonts w:hint="eastAsia"/>
          <w:b/>
          <w:kern w:val="0"/>
          <w:sz w:val="24"/>
        </w:rPr>
        <w:t>会务咨询请先通过此邮箱与会务组联系</w:t>
      </w:r>
      <w:r>
        <w:rPr>
          <w:rFonts w:hint="eastAsia"/>
          <w:kern w:val="0"/>
          <w:sz w:val="24"/>
        </w:rPr>
        <w:t>）</w:t>
      </w:r>
    </w:p>
    <w:p>
      <w:pPr>
        <w:widowControl/>
        <w:wordWrap w:val="0"/>
        <w:spacing w:line="360" w:lineRule="atLeast"/>
        <w:jc w:val="left"/>
        <w:rPr>
          <w:rFonts w:hint="eastAsia"/>
          <w:kern w:val="0"/>
          <w:sz w:val="24"/>
        </w:rPr>
      </w:pPr>
      <w:r>
        <w:rPr>
          <w:kern w:val="0"/>
          <w:sz w:val="24"/>
        </w:rPr>
        <w:t>联</w:t>
      </w:r>
      <w:r>
        <w:rPr>
          <w:rFonts w:hint="eastAsia"/>
          <w:kern w:val="0"/>
          <w:sz w:val="24"/>
        </w:rPr>
        <w:t xml:space="preserve"> </w:t>
      </w:r>
      <w:r>
        <w:rPr>
          <w:kern w:val="0"/>
          <w:sz w:val="24"/>
        </w:rPr>
        <w:t>系</w:t>
      </w:r>
      <w:r>
        <w:rPr>
          <w:rFonts w:hint="eastAsia"/>
          <w:kern w:val="0"/>
          <w:sz w:val="24"/>
        </w:rPr>
        <w:t xml:space="preserve"> 人：张 婕 孙雅娟 </w:t>
      </w:r>
    </w:p>
    <w:p>
      <w:pPr>
        <w:widowControl/>
        <w:wordWrap w:val="0"/>
        <w:spacing w:line="360" w:lineRule="atLeast"/>
        <w:jc w:val="left"/>
        <w:rPr>
          <w:rFonts w:hint="eastAsia"/>
          <w:kern w:val="0"/>
          <w:sz w:val="24"/>
        </w:rPr>
      </w:pPr>
      <w:r>
        <w:rPr>
          <w:rFonts w:hint="eastAsia"/>
          <w:kern w:val="0"/>
          <w:sz w:val="24"/>
        </w:rPr>
        <w:t xml:space="preserve">          </w:t>
      </w:r>
    </w:p>
    <w:p>
      <w:pPr>
        <w:widowControl/>
        <w:wordWrap w:val="0"/>
        <w:spacing w:line="360" w:lineRule="atLeast"/>
        <w:jc w:val="left"/>
        <w:rPr>
          <w:rFonts w:hint="eastAsia"/>
          <w:kern w:val="0"/>
          <w:sz w:val="24"/>
        </w:rPr>
      </w:pPr>
    </w:p>
    <w:p>
      <w:pPr>
        <w:widowControl/>
        <w:wordWrap w:val="0"/>
        <w:spacing w:line="360" w:lineRule="atLeast"/>
        <w:ind w:firstLine="5400" w:firstLineChars="2250"/>
        <w:jc w:val="right"/>
        <w:rPr>
          <w:rFonts w:hint="eastAsia"/>
          <w:kern w:val="0"/>
          <w:sz w:val="24"/>
        </w:rPr>
      </w:pPr>
      <w:r>
        <w:rPr>
          <w:rFonts w:hint="eastAsia"/>
          <w:kern w:val="0"/>
          <w:sz w:val="24"/>
        </w:rPr>
        <w:t xml:space="preserve">     重庆大学土木</w:t>
      </w:r>
      <w:r>
        <w:rPr>
          <w:kern w:val="0"/>
          <w:sz w:val="24"/>
        </w:rPr>
        <w:t>工程学院</w:t>
      </w:r>
    </w:p>
    <w:p>
      <w:pPr>
        <w:widowControl/>
        <w:wordWrap w:val="0"/>
        <w:spacing w:line="360" w:lineRule="atLeast"/>
        <w:jc w:val="right"/>
        <w:rPr>
          <w:kern w:val="0"/>
          <w:sz w:val="24"/>
        </w:rPr>
      </w:pPr>
      <w:r>
        <w:rPr>
          <w:rFonts w:hint="eastAsia"/>
          <w:kern w:val="0"/>
          <w:sz w:val="24"/>
        </w:rPr>
        <w:t>山地城镇建设安全与防灾协同创新中心</w:t>
      </w:r>
    </w:p>
    <w:p>
      <w:pPr>
        <w:widowControl/>
        <w:wordWrap w:val="0"/>
        <w:spacing w:line="360" w:lineRule="atLeast"/>
        <w:ind w:firstLine="3600" w:firstLineChars="1500"/>
        <w:jc w:val="right"/>
        <w:rPr>
          <w:rFonts w:hint="eastAsia"/>
          <w:kern w:val="0"/>
          <w:sz w:val="24"/>
        </w:rPr>
      </w:pPr>
      <w:r>
        <w:rPr>
          <w:kern w:val="0"/>
          <w:sz w:val="24"/>
        </w:rPr>
        <w:t>201</w:t>
      </w:r>
      <w:r>
        <w:rPr>
          <w:rFonts w:hint="eastAsia"/>
          <w:kern w:val="0"/>
          <w:sz w:val="24"/>
        </w:rPr>
        <w:t>5</w:t>
      </w:r>
      <w:r>
        <w:rPr>
          <w:kern w:val="0"/>
          <w:sz w:val="24"/>
        </w:rPr>
        <w:t> 年土木工程全国</w:t>
      </w:r>
      <w:r>
        <w:rPr>
          <w:rFonts w:hint="eastAsia"/>
          <w:kern w:val="0"/>
          <w:sz w:val="24"/>
        </w:rPr>
        <w:t>研究</w:t>
      </w:r>
      <w:r>
        <w:rPr>
          <w:kern w:val="0"/>
          <w:sz w:val="24"/>
        </w:rPr>
        <w:t>生学术论坛组委会</w:t>
      </w:r>
    </w:p>
    <w:p>
      <w:pPr>
        <w:widowControl/>
        <w:spacing w:line="360" w:lineRule="atLeast"/>
        <w:ind w:firstLine="3600" w:firstLineChars="1500"/>
        <w:jc w:val="right"/>
        <w:rPr>
          <w:rFonts w:hint="eastAsia"/>
          <w:kern w:val="0"/>
          <w:sz w:val="24"/>
        </w:rPr>
      </w:pPr>
    </w:p>
    <w:p>
      <w:pPr>
        <w:widowControl/>
        <w:wordWrap w:val="0"/>
        <w:spacing w:line="360" w:lineRule="atLeast"/>
        <w:ind w:firstLine="3600" w:firstLineChars="1500"/>
        <w:jc w:val="left"/>
        <w:rPr>
          <w:kern w:val="0"/>
          <w:sz w:val="24"/>
        </w:rPr>
      </w:pPr>
    </w:p>
    <w:p>
      <w:pPr>
        <w:widowControl/>
        <w:wordWrap w:val="0"/>
        <w:spacing w:line="360" w:lineRule="atLeast"/>
        <w:jc w:val="left"/>
        <w:rPr>
          <w:rFonts w:hint="eastAsia"/>
          <w:kern w:val="0"/>
          <w:sz w:val="24"/>
        </w:rPr>
      </w:pPr>
      <w:r>
        <w:rPr>
          <w:rFonts w:hint="eastAsia" w:ascii="Times New Roman" w:hAnsi="Times New Roman" w:eastAsia="宋体" w:cs="Times New Roman"/>
          <w:b/>
          <w:kern w:val="0"/>
          <w:sz w:val="24"/>
          <w:szCs w:val="24"/>
          <w:lang w:val="en-US" w:eastAsia="zh-CN" w:bidi="ar-SA"/>
        </w:rPr>
        <w:pict>
          <v:shape id="对象 3" type="#_x0000_t75" style="position:absolute;left:0;margin-left:26.8pt;margin-top:6.15pt;height:49.45pt;width:78.7pt;rotation:0f;z-index:251659264;" o:ole="t" fillcolor="#FFFFFF" filled="f" o:preferrelative="t" stroked="f" coordorigin="0,0" coordsize="21600,21600">
            <v:fill on="f" color2="#FFFFFF" focus="0%"/>
            <v:imagedata gain="65536f" blacklevel="0f" gamma="0" o:title="" r:id="rId6"/>
            <o:lock v:ext="edit" position="f" selection="f" grouping="f" rotation="f" cropping="f" text="f" aspectratio="t"/>
          </v:shape>
          <o:OLEObject Type="Embed" ProgID="Word.Document.12" ShapeID="对象 3" DrawAspect="Icon" ObjectID="_2" r:id="rId5"/>
        </w:pict>
      </w:r>
      <w:r>
        <w:rPr>
          <w:rFonts w:hint="eastAsia"/>
          <w:b/>
          <w:kern w:val="0"/>
          <w:sz w:val="24"/>
        </w:rPr>
        <w:t>附件1</w:t>
      </w:r>
      <w:r>
        <w:rPr>
          <w:rFonts w:hint="eastAsia"/>
          <w:kern w:val="0"/>
          <w:sz w:val="24"/>
        </w:rPr>
        <w:t>：               (双击“论文模板”图标即可打开)</w:t>
      </w:r>
    </w:p>
    <w:p>
      <w:pPr>
        <w:widowControl/>
        <w:wordWrap w:val="0"/>
        <w:spacing w:line="360" w:lineRule="atLeast"/>
        <w:jc w:val="left"/>
        <w:rPr>
          <w:rFonts w:hint="eastAsia"/>
          <w:kern w:val="0"/>
          <w:sz w:val="24"/>
        </w:rPr>
      </w:pPr>
    </w:p>
    <w:p>
      <w:pPr>
        <w:widowControl/>
        <w:wordWrap w:val="0"/>
        <w:spacing w:line="360" w:lineRule="atLeast"/>
        <w:jc w:val="left"/>
        <w:rPr>
          <w:rFonts w:hint="eastAsia"/>
          <w:kern w:val="0"/>
          <w:sz w:val="24"/>
        </w:rPr>
      </w:pPr>
    </w:p>
    <w:p>
      <w:pPr>
        <w:widowControl/>
        <w:wordWrap w:val="0"/>
        <w:spacing w:line="360" w:lineRule="atLeast"/>
        <w:jc w:val="left"/>
        <w:rPr>
          <w:rFonts w:hint="eastAsia"/>
          <w:kern w:val="0"/>
          <w:sz w:val="24"/>
        </w:rPr>
      </w:pPr>
    </w:p>
    <w:p>
      <w:pPr>
        <w:widowControl/>
        <w:wordWrap w:val="0"/>
        <w:spacing w:line="360" w:lineRule="atLeast"/>
        <w:jc w:val="left"/>
        <w:rPr>
          <w:rFonts w:hint="eastAsia"/>
          <w:kern w:val="0"/>
          <w:sz w:val="24"/>
        </w:rPr>
      </w:pPr>
    </w:p>
    <w:p>
      <w:pPr>
        <w:widowControl/>
        <w:wordWrap w:val="0"/>
        <w:spacing w:line="360" w:lineRule="atLeast"/>
        <w:jc w:val="left"/>
        <w:rPr>
          <w:rFonts w:hint="eastAsia"/>
          <w:kern w:val="0"/>
          <w:sz w:val="24"/>
        </w:rPr>
      </w:pPr>
    </w:p>
    <w:p>
      <w:pPr>
        <w:widowControl/>
        <w:wordWrap w:val="0"/>
        <w:spacing w:line="360" w:lineRule="atLeast"/>
        <w:jc w:val="left"/>
        <w:rPr>
          <w:rFonts w:hint="eastAsia"/>
          <w:kern w:val="0"/>
          <w:sz w:val="24"/>
        </w:rPr>
      </w:pPr>
    </w:p>
    <w:p>
      <w:pPr>
        <w:widowControl/>
        <w:wordWrap w:val="0"/>
        <w:spacing w:line="360" w:lineRule="atLeast"/>
        <w:jc w:val="left"/>
        <w:rPr>
          <w:rFonts w:hint="eastAsia"/>
          <w:kern w:val="0"/>
          <w:sz w:val="24"/>
        </w:rPr>
      </w:pPr>
    </w:p>
    <w:p>
      <w:pPr>
        <w:widowControl/>
        <w:spacing w:afterLines="50" w:line="360" w:lineRule="atLeast"/>
        <w:jc w:val="left"/>
        <w:rPr>
          <w:rFonts w:hint="eastAsia"/>
          <w:b/>
          <w:kern w:val="0"/>
          <w:sz w:val="24"/>
        </w:rPr>
      </w:pPr>
      <w:r>
        <w:rPr>
          <w:rFonts w:hint="eastAsia"/>
          <w:b/>
          <w:kern w:val="0"/>
          <w:sz w:val="24"/>
        </w:rPr>
        <w:t>表1  2015年全国土木工程研究生学术论坛报名回执</w:t>
      </w:r>
    </w:p>
    <w:tbl>
      <w:tblPr>
        <w:tblStyle w:val="1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709"/>
        <w:gridCol w:w="1417"/>
        <w:gridCol w:w="1559"/>
        <w:gridCol w:w="1134"/>
        <w:gridCol w:w="993"/>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675" w:type="dxa"/>
            <w:vAlign w:val="center"/>
          </w:tcPr>
          <w:p>
            <w:pPr>
              <w:widowControl/>
              <w:jc w:val="center"/>
              <w:rPr>
                <w:rFonts w:hint="eastAsia"/>
                <w:b/>
                <w:kern w:val="0"/>
                <w:sz w:val="18"/>
                <w:szCs w:val="18"/>
              </w:rPr>
            </w:pPr>
            <w:r>
              <w:rPr>
                <w:rFonts w:hint="eastAsia"/>
                <w:b/>
                <w:kern w:val="0"/>
                <w:sz w:val="18"/>
                <w:szCs w:val="18"/>
              </w:rPr>
              <w:t>序号</w:t>
            </w:r>
          </w:p>
        </w:tc>
        <w:tc>
          <w:tcPr>
            <w:tcW w:w="851" w:type="dxa"/>
            <w:vAlign w:val="center"/>
          </w:tcPr>
          <w:p>
            <w:pPr>
              <w:widowControl/>
              <w:jc w:val="center"/>
              <w:rPr>
                <w:rFonts w:hint="eastAsia"/>
                <w:b/>
                <w:kern w:val="0"/>
                <w:sz w:val="18"/>
                <w:szCs w:val="18"/>
              </w:rPr>
            </w:pPr>
            <w:r>
              <w:rPr>
                <w:rFonts w:hint="eastAsia"/>
                <w:b/>
                <w:kern w:val="0"/>
                <w:sz w:val="18"/>
                <w:szCs w:val="18"/>
              </w:rPr>
              <w:t>姓名</w:t>
            </w:r>
          </w:p>
        </w:tc>
        <w:tc>
          <w:tcPr>
            <w:tcW w:w="709" w:type="dxa"/>
            <w:vAlign w:val="center"/>
          </w:tcPr>
          <w:p>
            <w:pPr>
              <w:widowControl/>
              <w:jc w:val="center"/>
              <w:rPr>
                <w:rFonts w:hint="eastAsia"/>
                <w:b/>
                <w:kern w:val="0"/>
                <w:sz w:val="18"/>
                <w:szCs w:val="18"/>
              </w:rPr>
            </w:pPr>
            <w:r>
              <w:rPr>
                <w:rFonts w:hint="eastAsia"/>
                <w:b/>
                <w:kern w:val="0"/>
                <w:sz w:val="18"/>
                <w:szCs w:val="18"/>
              </w:rPr>
              <w:t>性别</w:t>
            </w:r>
          </w:p>
        </w:tc>
        <w:tc>
          <w:tcPr>
            <w:tcW w:w="1417" w:type="dxa"/>
            <w:vAlign w:val="center"/>
          </w:tcPr>
          <w:p>
            <w:pPr>
              <w:widowControl/>
              <w:jc w:val="center"/>
              <w:rPr>
                <w:rFonts w:hint="eastAsia"/>
                <w:b/>
                <w:kern w:val="0"/>
                <w:sz w:val="18"/>
                <w:szCs w:val="18"/>
              </w:rPr>
            </w:pPr>
            <w:r>
              <w:rPr>
                <w:rFonts w:hint="eastAsia"/>
                <w:b/>
                <w:kern w:val="0"/>
                <w:sz w:val="18"/>
                <w:szCs w:val="18"/>
              </w:rPr>
              <w:t>单位</w:t>
            </w:r>
          </w:p>
        </w:tc>
        <w:tc>
          <w:tcPr>
            <w:tcW w:w="1559" w:type="dxa"/>
            <w:vAlign w:val="center"/>
          </w:tcPr>
          <w:p>
            <w:pPr>
              <w:widowControl/>
              <w:jc w:val="center"/>
              <w:rPr>
                <w:rFonts w:hint="eastAsia"/>
                <w:b/>
                <w:kern w:val="0"/>
                <w:sz w:val="18"/>
                <w:szCs w:val="18"/>
                <w:vertAlign w:val="superscript"/>
              </w:rPr>
            </w:pPr>
            <w:r>
              <w:rPr>
                <w:rFonts w:hint="eastAsia"/>
                <w:b/>
                <w:kern w:val="0"/>
                <w:sz w:val="18"/>
                <w:szCs w:val="18"/>
              </w:rPr>
              <w:t>职称/职务</w:t>
            </w:r>
            <w:r>
              <w:rPr>
                <w:rFonts w:hint="eastAsia"/>
                <w:b/>
                <w:kern w:val="0"/>
                <w:sz w:val="18"/>
                <w:szCs w:val="18"/>
                <w:vertAlign w:val="superscript"/>
              </w:rPr>
              <w:t>1</w:t>
            </w:r>
          </w:p>
        </w:tc>
        <w:tc>
          <w:tcPr>
            <w:tcW w:w="1134" w:type="dxa"/>
            <w:vAlign w:val="center"/>
          </w:tcPr>
          <w:p>
            <w:pPr>
              <w:widowControl/>
              <w:jc w:val="center"/>
              <w:rPr>
                <w:rFonts w:hint="eastAsia"/>
                <w:b/>
                <w:kern w:val="0"/>
                <w:sz w:val="18"/>
                <w:szCs w:val="18"/>
              </w:rPr>
            </w:pPr>
            <w:r>
              <w:rPr>
                <w:rFonts w:hint="eastAsia"/>
                <w:b/>
                <w:kern w:val="0"/>
                <w:sz w:val="18"/>
                <w:szCs w:val="18"/>
              </w:rPr>
              <w:t>联系电话</w:t>
            </w:r>
          </w:p>
        </w:tc>
        <w:tc>
          <w:tcPr>
            <w:tcW w:w="993" w:type="dxa"/>
            <w:vAlign w:val="center"/>
          </w:tcPr>
          <w:p>
            <w:pPr>
              <w:widowControl/>
              <w:jc w:val="center"/>
              <w:rPr>
                <w:rFonts w:hint="eastAsia"/>
                <w:b/>
                <w:kern w:val="0"/>
                <w:sz w:val="18"/>
                <w:szCs w:val="18"/>
              </w:rPr>
            </w:pPr>
            <w:r>
              <w:rPr>
                <w:rFonts w:hint="eastAsia"/>
                <w:b/>
                <w:kern w:val="0"/>
                <w:sz w:val="18"/>
                <w:szCs w:val="18"/>
              </w:rPr>
              <w:t>E-mail</w:t>
            </w:r>
          </w:p>
        </w:tc>
        <w:tc>
          <w:tcPr>
            <w:tcW w:w="1948" w:type="dxa"/>
            <w:vAlign w:val="center"/>
          </w:tcPr>
          <w:p>
            <w:pPr>
              <w:widowControl/>
              <w:jc w:val="center"/>
              <w:rPr>
                <w:rFonts w:hint="eastAsia"/>
                <w:b/>
                <w:kern w:val="0"/>
                <w:sz w:val="18"/>
                <w:szCs w:val="18"/>
              </w:rPr>
            </w:pPr>
            <w:r>
              <w:rPr>
                <w:rFonts w:hint="eastAsia"/>
                <w:b/>
                <w:kern w:val="0"/>
                <w:sz w:val="18"/>
                <w:szCs w:val="18"/>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widowControl/>
              <w:wordWrap w:val="0"/>
              <w:spacing w:line="360" w:lineRule="atLeast"/>
              <w:jc w:val="center"/>
              <w:rPr>
                <w:rFonts w:hint="eastAsia"/>
                <w:kern w:val="0"/>
                <w:sz w:val="18"/>
                <w:szCs w:val="18"/>
              </w:rPr>
            </w:pPr>
          </w:p>
        </w:tc>
        <w:tc>
          <w:tcPr>
            <w:tcW w:w="851" w:type="dxa"/>
            <w:vAlign w:val="center"/>
          </w:tcPr>
          <w:p>
            <w:pPr>
              <w:widowControl/>
              <w:wordWrap w:val="0"/>
              <w:spacing w:line="360" w:lineRule="atLeast"/>
              <w:jc w:val="center"/>
              <w:rPr>
                <w:rFonts w:hint="eastAsia"/>
                <w:kern w:val="0"/>
                <w:sz w:val="18"/>
                <w:szCs w:val="18"/>
              </w:rPr>
            </w:pPr>
          </w:p>
        </w:tc>
        <w:tc>
          <w:tcPr>
            <w:tcW w:w="709" w:type="dxa"/>
            <w:vAlign w:val="center"/>
          </w:tcPr>
          <w:p>
            <w:pPr>
              <w:widowControl/>
              <w:wordWrap w:val="0"/>
              <w:spacing w:line="360" w:lineRule="atLeast"/>
              <w:jc w:val="center"/>
              <w:rPr>
                <w:rFonts w:hint="eastAsia"/>
                <w:kern w:val="0"/>
                <w:sz w:val="18"/>
                <w:szCs w:val="18"/>
              </w:rPr>
            </w:pPr>
          </w:p>
        </w:tc>
        <w:tc>
          <w:tcPr>
            <w:tcW w:w="1417" w:type="dxa"/>
            <w:vAlign w:val="center"/>
          </w:tcPr>
          <w:p>
            <w:pPr>
              <w:widowControl/>
              <w:wordWrap w:val="0"/>
              <w:spacing w:line="360" w:lineRule="atLeast"/>
              <w:jc w:val="center"/>
              <w:rPr>
                <w:rFonts w:hint="eastAsia"/>
                <w:kern w:val="0"/>
                <w:sz w:val="18"/>
                <w:szCs w:val="18"/>
              </w:rPr>
            </w:pPr>
          </w:p>
        </w:tc>
        <w:tc>
          <w:tcPr>
            <w:tcW w:w="1559" w:type="dxa"/>
            <w:vAlign w:val="center"/>
          </w:tcPr>
          <w:p>
            <w:pPr>
              <w:widowControl/>
              <w:wordWrap w:val="0"/>
              <w:spacing w:line="360" w:lineRule="atLeast"/>
              <w:jc w:val="center"/>
              <w:rPr>
                <w:rFonts w:hint="eastAsia"/>
                <w:kern w:val="0"/>
                <w:sz w:val="18"/>
                <w:szCs w:val="18"/>
              </w:rPr>
            </w:pPr>
          </w:p>
        </w:tc>
        <w:tc>
          <w:tcPr>
            <w:tcW w:w="1134" w:type="dxa"/>
            <w:vAlign w:val="center"/>
          </w:tcPr>
          <w:p>
            <w:pPr>
              <w:widowControl/>
              <w:wordWrap w:val="0"/>
              <w:spacing w:line="360" w:lineRule="atLeast"/>
              <w:jc w:val="center"/>
              <w:rPr>
                <w:rFonts w:hint="eastAsia"/>
                <w:kern w:val="0"/>
                <w:sz w:val="18"/>
                <w:szCs w:val="18"/>
              </w:rPr>
            </w:pPr>
          </w:p>
        </w:tc>
        <w:tc>
          <w:tcPr>
            <w:tcW w:w="993" w:type="dxa"/>
            <w:vAlign w:val="center"/>
          </w:tcPr>
          <w:p>
            <w:pPr>
              <w:widowControl/>
              <w:wordWrap w:val="0"/>
              <w:spacing w:line="360" w:lineRule="atLeast"/>
              <w:jc w:val="center"/>
              <w:rPr>
                <w:rFonts w:hint="eastAsia"/>
                <w:kern w:val="0"/>
                <w:sz w:val="18"/>
                <w:szCs w:val="18"/>
              </w:rPr>
            </w:pPr>
          </w:p>
        </w:tc>
        <w:tc>
          <w:tcPr>
            <w:tcW w:w="1948" w:type="dxa"/>
            <w:vAlign w:val="center"/>
          </w:tcPr>
          <w:p>
            <w:pPr>
              <w:widowControl/>
              <w:wordWrap w:val="0"/>
              <w:spacing w:line="360" w:lineRule="atLeast"/>
              <w:jc w:val="center"/>
              <w:rPr>
                <w:rFonts w:hint="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widowControl/>
              <w:wordWrap w:val="0"/>
              <w:spacing w:line="360" w:lineRule="atLeast"/>
              <w:jc w:val="center"/>
              <w:rPr>
                <w:rFonts w:hint="eastAsia"/>
                <w:kern w:val="0"/>
                <w:sz w:val="18"/>
                <w:szCs w:val="18"/>
              </w:rPr>
            </w:pPr>
          </w:p>
        </w:tc>
        <w:tc>
          <w:tcPr>
            <w:tcW w:w="851" w:type="dxa"/>
            <w:vAlign w:val="center"/>
          </w:tcPr>
          <w:p>
            <w:pPr>
              <w:widowControl/>
              <w:wordWrap w:val="0"/>
              <w:spacing w:line="360" w:lineRule="atLeast"/>
              <w:jc w:val="center"/>
              <w:rPr>
                <w:rFonts w:hint="eastAsia"/>
                <w:kern w:val="0"/>
                <w:sz w:val="18"/>
                <w:szCs w:val="18"/>
              </w:rPr>
            </w:pPr>
          </w:p>
        </w:tc>
        <w:tc>
          <w:tcPr>
            <w:tcW w:w="709" w:type="dxa"/>
            <w:vAlign w:val="center"/>
          </w:tcPr>
          <w:p>
            <w:pPr>
              <w:widowControl/>
              <w:wordWrap w:val="0"/>
              <w:spacing w:line="360" w:lineRule="atLeast"/>
              <w:jc w:val="center"/>
              <w:rPr>
                <w:rFonts w:hint="eastAsia"/>
                <w:kern w:val="0"/>
                <w:sz w:val="18"/>
                <w:szCs w:val="18"/>
              </w:rPr>
            </w:pPr>
          </w:p>
        </w:tc>
        <w:tc>
          <w:tcPr>
            <w:tcW w:w="1417" w:type="dxa"/>
            <w:vAlign w:val="center"/>
          </w:tcPr>
          <w:p>
            <w:pPr>
              <w:widowControl/>
              <w:wordWrap w:val="0"/>
              <w:spacing w:line="360" w:lineRule="atLeast"/>
              <w:jc w:val="center"/>
              <w:rPr>
                <w:rFonts w:hint="eastAsia"/>
                <w:kern w:val="0"/>
                <w:sz w:val="18"/>
                <w:szCs w:val="18"/>
              </w:rPr>
            </w:pPr>
          </w:p>
        </w:tc>
        <w:tc>
          <w:tcPr>
            <w:tcW w:w="1559" w:type="dxa"/>
            <w:vAlign w:val="center"/>
          </w:tcPr>
          <w:p>
            <w:pPr>
              <w:widowControl/>
              <w:wordWrap w:val="0"/>
              <w:spacing w:line="360" w:lineRule="atLeast"/>
              <w:jc w:val="center"/>
              <w:rPr>
                <w:rFonts w:hint="eastAsia"/>
                <w:kern w:val="0"/>
                <w:sz w:val="18"/>
                <w:szCs w:val="18"/>
              </w:rPr>
            </w:pPr>
          </w:p>
        </w:tc>
        <w:tc>
          <w:tcPr>
            <w:tcW w:w="1134" w:type="dxa"/>
            <w:vAlign w:val="center"/>
          </w:tcPr>
          <w:p>
            <w:pPr>
              <w:widowControl/>
              <w:wordWrap w:val="0"/>
              <w:spacing w:line="360" w:lineRule="atLeast"/>
              <w:jc w:val="center"/>
              <w:rPr>
                <w:rFonts w:hint="eastAsia"/>
                <w:kern w:val="0"/>
                <w:sz w:val="18"/>
                <w:szCs w:val="18"/>
              </w:rPr>
            </w:pPr>
          </w:p>
        </w:tc>
        <w:tc>
          <w:tcPr>
            <w:tcW w:w="993" w:type="dxa"/>
            <w:vAlign w:val="center"/>
          </w:tcPr>
          <w:p>
            <w:pPr>
              <w:widowControl/>
              <w:wordWrap w:val="0"/>
              <w:spacing w:line="360" w:lineRule="atLeast"/>
              <w:jc w:val="center"/>
              <w:rPr>
                <w:rFonts w:hint="eastAsia"/>
                <w:kern w:val="0"/>
                <w:sz w:val="18"/>
                <w:szCs w:val="18"/>
              </w:rPr>
            </w:pPr>
          </w:p>
        </w:tc>
        <w:tc>
          <w:tcPr>
            <w:tcW w:w="1948" w:type="dxa"/>
            <w:vAlign w:val="center"/>
          </w:tcPr>
          <w:p>
            <w:pPr>
              <w:widowControl/>
              <w:wordWrap w:val="0"/>
              <w:spacing w:line="360" w:lineRule="atLeast"/>
              <w:jc w:val="center"/>
              <w:rPr>
                <w:rFonts w:hint="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widowControl/>
              <w:wordWrap w:val="0"/>
              <w:spacing w:line="360" w:lineRule="atLeast"/>
              <w:jc w:val="center"/>
              <w:rPr>
                <w:rFonts w:hint="eastAsia"/>
                <w:kern w:val="0"/>
                <w:sz w:val="18"/>
                <w:szCs w:val="18"/>
              </w:rPr>
            </w:pPr>
          </w:p>
        </w:tc>
        <w:tc>
          <w:tcPr>
            <w:tcW w:w="851" w:type="dxa"/>
            <w:vAlign w:val="center"/>
          </w:tcPr>
          <w:p>
            <w:pPr>
              <w:widowControl/>
              <w:wordWrap w:val="0"/>
              <w:spacing w:line="360" w:lineRule="atLeast"/>
              <w:jc w:val="center"/>
              <w:rPr>
                <w:rFonts w:hint="eastAsia"/>
                <w:kern w:val="0"/>
                <w:sz w:val="18"/>
                <w:szCs w:val="18"/>
              </w:rPr>
            </w:pPr>
          </w:p>
        </w:tc>
        <w:tc>
          <w:tcPr>
            <w:tcW w:w="709" w:type="dxa"/>
            <w:vAlign w:val="center"/>
          </w:tcPr>
          <w:p>
            <w:pPr>
              <w:widowControl/>
              <w:wordWrap w:val="0"/>
              <w:spacing w:line="360" w:lineRule="atLeast"/>
              <w:jc w:val="center"/>
              <w:rPr>
                <w:rFonts w:hint="eastAsia"/>
                <w:kern w:val="0"/>
                <w:sz w:val="18"/>
                <w:szCs w:val="18"/>
              </w:rPr>
            </w:pPr>
          </w:p>
        </w:tc>
        <w:tc>
          <w:tcPr>
            <w:tcW w:w="1417" w:type="dxa"/>
            <w:vAlign w:val="center"/>
          </w:tcPr>
          <w:p>
            <w:pPr>
              <w:widowControl/>
              <w:wordWrap w:val="0"/>
              <w:spacing w:line="360" w:lineRule="atLeast"/>
              <w:jc w:val="center"/>
              <w:rPr>
                <w:rFonts w:hint="eastAsia"/>
                <w:kern w:val="0"/>
                <w:sz w:val="18"/>
                <w:szCs w:val="18"/>
              </w:rPr>
            </w:pPr>
          </w:p>
        </w:tc>
        <w:tc>
          <w:tcPr>
            <w:tcW w:w="1559" w:type="dxa"/>
            <w:vAlign w:val="center"/>
          </w:tcPr>
          <w:p>
            <w:pPr>
              <w:widowControl/>
              <w:wordWrap w:val="0"/>
              <w:spacing w:line="360" w:lineRule="atLeast"/>
              <w:jc w:val="center"/>
              <w:rPr>
                <w:rFonts w:hint="eastAsia"/>
                <w:kern w:val="0"/>
                <w:sz w:val="18"/>
                <w:szCs w:val="18"/>
              </w:rPr>
            </w:pPr>
          </w:p>
        </w:tc>
        <w:tc>
          <w:tcPr>
            <w:tcW w:w="1134" w:type="dxa"/>
            <w:vAlign w:val="center"/>
          </w:tcPr>
          <w:p>
            <w:pPr>
              <w:widowControl/>
              <w:wordWrap w:val="0"/>
              <w:spacing w:line="360" w:lineRule="atLeast"/>
              <w:jc w:val="center"/>
              <w:rPr>
                <w:rFonts w:hint="eastAsia"/>
                <w:kern w:val="0"/>
                <w:sz w:val="18"/>
                <w:szCs w:val="18"/>
              </w:rPr>
            </w:pPr>
          </w:p>
        </w:tc>
        <w:tc>
          <w:tcPr>
            <w:tcW w:w="993" w:type="dxa"/>
            <w:vAlign w:val="center"/>
          </w:tcPr>
          <w:p>
            <w:pPr>
              <w:widowControl/>
              <w:wordWrap w:val="0"/>
              <w:spacing w:line="360" w:lineRule="atLeast"/>
              <w:jc w:val="center"/>
              <w:rPr>
                <w:rFonts w:hint="eastAsia"/>
                <w:kern w:val="0"/>
                <w:sz w:val="18"/>
                <w:szCs w:val="18"/>
              </w:rPr>
            </w:pPr>
          </w:p>
        </w:tc>
        <w:tc>
          <w:tcPr>
            <w:tcW w:w="1948" w:type="dxa"/>
            <w:vAlign w:val="center"/>
          </w:tcPr>
          <w:p>
            <w:pPr>
              <w:widowControl/>
              <w:wordWrap w:val="0"/>
              <w:spacing w:line="360" w:lineRule="atLeast"/>
              <w:jc w:val="center"/>
              <w:rPr>
                <w:rFonts w:hint="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widowControl/>
              <w:wordWrap w:val="0"/>
              <w:spacing w:line="360" w:lineRule="atLeast"/>
              <w:jc w:val="center"/>
              <w:rPr>
                <w:rFonts w:hint="eastAsia"/>
                <w:kern w:val="0"/>
                <w:sz w:val="18"/>
                <w:szCs w:val="18"/>
              </w:rPr>
            </w:pPr>
          </w:p>
        </w:tc>
        <w:tc>
          <w:tcPr>
            <w:tcW w:w="851" w:type="dxa"/>
            <w:vAlign w:val="center"/>
          </w:tcPr>
          <w:p>
            <w:pPr>
              <w:widowControl/>
              <w:wordWrap w:val="0"/>
              <w:spacing w:line="360" w:lineRule="atLeast"/>
              <w:jc w:val="center"/>
              <w:rPr>
                <w:rFonts w:hint="eastAsia"/>
                <w:kern w:val="0"/>
                <w:sz w:val="18"/>
                <w:szCs w:val="18"/>
              </w:rPr>
            </w:pPr>
          </w:p>
        </w:tc>
        <w:tc>
          <w:tcPr>
            <w:tcW w:w="709" w:type="dxa"/>
            <w:vAlign w:val="center"/>
          </w:tcPr>
          <w:p>
            <w:pPr>
              <w:widowControl/>
              <w:wordWrap w:val="0"/>
              <w:spacing w:line="360" w:lineRule="atLeast"/>
              <w:jc w:val="center"/>
              <w:rPr>
                <w:rFonts w:hint="eastAsia"/>
                <w:kern w:val="0"/>
                <w:sz w:val="18"/>
                <w:szCs w:val="18"/>
              </w:rPr>
            </w:pPr>
          </w:p>
        </w:tc>
        <w:tc>
          <w:tcPr>
            <w:tcW w:w="1417" w:type="dxa"/>
            <w:vAlign w:val="center"/>
          </w:tcPr>
          <w:p>
            <w:pPr>
              <w:widowControl/>
              <w:wordWrap w:val="0"/>
              <w:spacing w:line="360" w:lineRule="atLeast"/>
              <w:jc w:val="center"/>
              <w:rPr>
                <w:rFonts w:hint="eastAsia"/>
                <w:kern w:val="0"/>
                <w:sz w:val="18"/>
                <w:szCs w:val="18"/>
              </w:rPr>
            </w:pPr>
          </w:p>
        </w:tc>
        <w:tc>
          <w:tcPr>
            <w:tcW w:w="1559" w:type="dxa"/>
            <w:vAlign w:val="center"/>
          </w:tcPr>
          <w:p>
            <w:pPr>
              <w:widowControl/>
              <w:wordWrap w:val="0"/>
              <w:spacing w:line="360" w:lineRule="atLeast"/>
              <w:jc w:val="center"/>
              <w:rPr>
                <w:rFonts w:hint="eastAsia"/>
                <w:kern w:val="0"/>
                <w:sz w:val="18"/>
                <w:szCs w:val="18"/>
              </w:rPr>
            </w:pPr>
          </w:p>
        </w:tc>
        <w:tc>
          <w:tcPr>
            <w:tcW w:w="1134" w:type="dxa"/>
            <w:vAlign w:val="center"/>
          </w:tcPr>
          <w:p>
            <w:pPr>
              <w:widowControl/>
              <w:wordWrap w:val="0"/>
              <w:spacing w:line="360" w:lineRule="atLeast"/>
              <w:jc w:val="center"/>
              <w:rPr>
                <w:rFonts w:hint="eastAsia"/>
                <w:kern w:val="0"/>
                <w:sz w:val="18"/>
                <w:szCs w:val="18"/>
              </w:rPr>
            </w:pPr>
          </w:p>
        </w:tc>
        <w:tc>
          <w:tcPr>
            <w:tcW w:w="993" w:type="dxa"/>
            <w:vAlign w:val="center"/>
          </w:tcPr>
          <w:p>
            <w:pPr>
              <w:widowControl/>
              <w:wordWrap w:val="0"/>
              <w:spacing w:line="360" w:lineRule="atLeast"/>
              <w:jc w:val="center"/>
              <w:rPr>
                <w:rFonts w:hint="eastAsia"/>
                <w:kern w:val="0"/>
                <w:sz w:val="18"/>
                <w:szCs w:val="18"/>
              </w:rPr>
            </w:pPr>
          </w:p>
        </w:tc>
        <w:tc>
          <w:tcPr>
            <w:tcW w:w="1948" w:type="dxa"/>
            <w:vAlign w:val="center"/>
          </w:tcPr>
          <w:p>
            <w:pPr>
              <w:widowControl/>
              <w:wordWrap w:val="0"/>
              <w:spacing w:line="360" w:lineRule="atLeast"/>
              <w:jc w:val="center"/>
              <w:rPr>
                <w:rFonts w:hint="eastAsia"/>
                <w:kern w:val="0"/>
                <w:sz w:val="18"/>
                <w:szCs w:val="18"/>
              </w:rPr>
            </w:pPr>
          </w:p>
        </w:tc>
      </w:tr>
    </w:tbl>
    <w:p>
      <w:pPr>
        <w:widowControl/>
        <w:jc w:val="left"/>
        <w:rPr>
          <w:rFonts w:hint="eastAsia"/>
          <w:b/>
          <w:kern w:val="0"/>
          <w:sz w:val="18"/>
          <w:szCs w:val="18"/>
        </w:rPr>
      </w:pPr>
      <w:r>
        <w:rPr>
          <w:rFonts w:hint="eastAsia"/>
          <w:b/>
          <w:kern w:val="0"/>
          <w:sz w:val="18"/>
          <w:szCs w:val="18"/>
        </w:rPr>
        <w:t>1请研究生同学在本栏注明学位类型及在读年限（2015年秋季学期），如“硕一”或“博二”，分别表示2015年秋季学期时处于硕士研究生一年级或博士研究生生二年级。</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66288501">
    <w:nsid w:val="45842675"/>
    <w:multiLevelType w:val="multilevel"/>
    <w:tmpl w:val="45842675"/>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11662885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bordersDoNotSurroundHeader w:val="1"/>
  <w:bordersDoNotSurroundFooter w:val="1"/>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16D95"/>
    <w:rsid w:val="00012F17"/>
    <w:rsid w:val="00015CB1"/>
    <w:rsid w:val="00016D95"/>
    <w:rsid w:val="000269CD"/>
    <w:rsid w:val="00033903"/>
    <w:rsid w:val="00036C5C"/>
    <w:rsid w:val="0004146D"/>
    <w:rsid w:val="00052244"/>
    <w:rsid w:val="000669A8"/>
    <w:rsid w:val="0008565D"/>
    <w:rsid w:val="0008682B"/>
    <w:rsid w:val="00086EB2"/>
    <w:rsid w:val="000A7F7C"/>
    <w:rsid w:val="000B0140"/>
    <w:rsid w:val="000C17B3"/>
    <w:rsid w:val="000C6498"/>
    <w:rsid w:val="000D5328"/>
    <w:rsid w:val="000E372A"/>
    <w:rsid w:val="000F1E70"/>
    <w:rsid w:val="00111C40"/>
    <w:rsid w:val="00160BDF"/>
    <w:rsid w:val="001B021D"/>
    <w:rsid w:val="001B69DB"/>
    <w:rsid w:val="001B6A42"/>
    <w:rsid w:val="00211D6A"/>
    <w:rsid w:val="00213962"/>
    <w:rsid w:val="00226337"/>
    <w:rsid w:val="00277540"/>
    <w:rsid w:val="00281B7D"/>
    <w:rsid w:val="00284735"/>
    <w:rsid w:val="002B0128"/>
    <w:rsid w:val="00306AF8"/>
    <w:rsid w:val="00311731"/>
    <w:rsid w:val="00313F9F"/>
    <w:rsid w:val="003209ED"/>
    <w:rsid w:val="0033409B"/>
    <w:rsid w:val="003562AC"/>
    <w:rsid w:val="003877B2"/>
    <w:rsid w:val="00387BEB"/>
    <w:rsid w:val="00397E37"/>
    <w:rsid w:val="003B3F82"/>
    <w:rsid w:val="003C2F7E"/>
    <w:rsid w:val="003D4EBF"/>
    <w:rsid w:val="0040569E"/>
    <w:rsid w:val="004078AE"/>
    <w:rsid w:val="0041406A"/>
    <w:rsid w:val="004326F7"/>
    <w:rsid w:val="00455111"/>
    <w:rsid w:val="00470900"/>
    <w:rsid w:val="004A619E"/>
    <w:rsid w:val="004B27CB"/>
    <w:rsid w:val="004C271B"/>
    <w:rsid w:val="004D61F7"/>
    <w:rsid w:val="004E1D4C"/>
    <w:rsid w:val="005000C9"/>
    <w:rsid w:val="005158F4"/>
    <w:rsid w:val="00515A96"/>
    <w:rsid w:val="005255DF"/>
    <w:rsid w:val="005308AD"/>
    <w:rsid w:val="0054028C"/>
    <w:rsid w:val="00555916"/>
    <w:rsid w:val="00556A87"/>
    <w:rsid w:val="00585A73"/>
    <w:rsid w:val="005A3E01"/>
    <w:rsid w:val="005B10E5"/>
    <w:rsid w:val="005B30D9"/>
    <w:rsid w:val="005C4894"/>
    <w:rsid w:val="005F4069"/>
    <w:rsid w:val="00602BEE"/>
    <w:rsid w:val="00641F1B"/>
    <w:rsid w:val="00655336"/>
    <w:rsid w:val="0066513B"/>
    <w:rsid w:val="00665BF1"/>
    <w:rsid w:val="006807FF"/>
    <w:rsid w:val="0068341F"/>
    <w:rsid w:val="00687AC7"/>
    <w:rsid w:val="006903DF"/>
    <w:rsid w:val="006978F2"/>
    <w:rsid w:val="006C34E1"/>
    <w:rsid w:val="006D6BED"/>
    <w:rsid w:val="006D7C73"/>
    <w:rsid w:val="006F19FA"/>
    <w:rsid w:val="006F5E13"/>
    <w:rsid w:val="007122DF"/>
    <w:rsid w:val="007127E7"/>
    <w:rsid w:val="007142DB"/>
    <w:rsid w:val="00716D68"/>
    <w:rsid w:val="00735EB9"/>
    <w:rsid w:val="00735FC2"/>
    <w:rsid w:val="00745B23"/>
    <w:rsid w:val="00756A12"/>
    <w:rsid w:val="00773912"/>
    <w:rsid w:val="00793AB6"/>
    <w:rsid w:val="00793F42"/>
    <w:rsid w:val="007A437F"/>
    <w:rsid w:val="007B3D18"/>
    <w:rsid w:val="007B408A"/>
    <w:rsid w:val="007D63D6"/>
    <w:rsid w:val="00803C19"/>
    <w:rsid w:val="0082181D"/>
    <w:rsid w:val="0082616C"/>
    <w:rsid w:val="008670F5"/>
    <w:rsid w:val="00895A98"/>
    <w:rsid w:val="00897935"/>
    <w:rsid w:val="008D0E1E"/>
    <w:rsid w:val="008E2EC0"/>
    <w:rsid w:val="008E64DF"/>
    <w:rsid w:val="008E782B"/>
    <w:rsid w:val="008F6497"/>
    <w:rsid w:val="00900747"/>
    <w:rsid w:val="00911AB9"/>
    <w:rsid w:val="00924596"/>
    <w:rsid w:val="009503B8"/>
    <w:rsid w:val="009801B5"/>
    <w:rsid w:val="00985894"/>
    <w:rsid w:val="00994DFC"/>
    <w:rsid w:val="009A799B"/>
    <w:rsid w:val="009B4765"/>
    <w:rsid w:val="009C3992"/>
    <w:rsid w:val="009D60E8"/>
    <w:rsid w:val="00A06C3C"/>
    <w:rsid w:val="00A42A27"/>
    <w:rsid w:val="00A513F9"/>
    <w:rsid w:val="00A550F3"/>
    <w:rsid w:val="00A6541C"/>
    <w:rsid w:val="00A672CD"/>
    <w:rsid w:val="00A7436A"/>
    <w:rsid w:val="00A91BAC"/>
    <w:rsid w:val="00AA73F1"/>
    <w:rsid w:val="00AE26ED"/>
    <w:rsid w:val="00AE2E65"/>
    <w:rsid w:val="00B02A05"/>
    <w:rsid w:val="00B15FEE"/>
    <w:rsid w:val="00B21A85"/>
    <w:rsid w:val="00B238F3"/>
    <w:rsid w:val="00B421C7"/>
    <w:rsid w:val="00B64276"/>
    <w:rsid w:val="00B86CC4"/>
    <w:rsid w:val="00B9447E"/>
    <w:rsid w:val="00BA53A8"/>
    <w:rsid w:val="00BD5077"/>
    <w:rsid w:val="00C24A5F"/>
    <w:rsid w:val="00C31B3E"/>
    <w:rsid w:val="00C50141"/>
    <w:rsid w:val="00C52467"/>
    <w:rsid w:val="00C6264B"/>
    <w:rsid w:val="00C715CA"/>
    <w:rsid w:val="00C81476"/>
    <w:rsid w:val="00C81ADE"/>
    <w:rsid w:val="00C829BD"/>
    <w:rsid w:val="00C86026"/>
    <w:rsid w:val="00CB19B0"/>
    <w:rsid w:val="00CE2E87"/>
    <w:rsid w:val="00CF58C2"/>
    <w:rsid w:val="00D04FC0"/>
    <w:rsid w:val="00D068F9"/>
    <w:rsid w:val="00D357D4"/>
    <w:rsid w:val="00D72900"/>
    <w:rsid w:val="00D854C1"/>
    <w:rsid w:val="00DA3109"/>
    <w:rsid w:val="00DB03C8"/>
    <w:rsid w:val="00E0298F"/>
    <w:rsid w:val="00E33686"/>
    <w:rsid w:val="00E42B2A"/>
    <w:rsid w:val="00E97A09"/>
    <w:rsid w:val="00ED692E"/>
    <w:rsid w:val="00EE3767"/>
    <w:rsid w:val="00F05690"/>
    <w:rsid w:val="00F174BA"/>
    <w:rsid w:val="00F44647"/>
    <w:rsid w:val="00F4573F"/>
    <w:rsid w:val="00F74513"/>
    <w:rsid w:val="00F90ECE"/>
    <w:rsid w:val="00F94263"/>
    <w:rsid w:val="00F954ED"/>
    <w:rsid w:val="00FB6389"/>
    <w:rsid w:val="00FB65C1"/>
    <w:rsid w:val="00FF7B89"/>
    <w:rsid w:val="00FF7B8E"/>
    <w:rsid w:val="025F3321"/>
    <w:rsid w:val="085151EA"/>
    <w:rsid w:val="09227AC1"/>
    <w:rsid w:val="1D2A343A"/>
    <w:rsid w:val="45617A1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link w:val="19"/>
    <w:qFormat/>
    <w:uiPriority w:val="9"/>
    <w:pPr>
      <w:widowControl/>
      <w:jc w:val="left"/>
      <w:outlineLvl w:val="2"/>
    </w:pPr>
    <w:rPr>
      <w:rFonts w:ascii="宋体" w:hAnsi="宋体"/>
      <w:b/>
      <w:bCs/>
      <w:kern w:val="0"/>
      <w:sz w:val="27"/>
      <w:szCs w:val="27"/>
    </w:rPr>
  </w:style>
  <w:style w:type="character" w:default="1" w:styleId="10">
    <w:name w:val="Default Paragraph Font"/>
    <w:unhideWhenUsed/>
    <w:uiPriority w:val="1"/>
  </w:style>
  <w:style w:type="table" w:default="1" w:styleId="13">
    <w:name w:val="Normal Table"/>
    <w:unhideWhenUsed/>
    <w:uiPriority w:val="99"/>
    <w:tblPr>
      <w:tblStyle w:val="13"/>
      <w:tblLayout w:type="fixed"/>
      <w:tblCellMar>
        <w:top w:w="0" w:type="dxa"/>
        <w:left w:w="108" w:type="dxa"/>
        <w:bottom w:w="0" w:type="dxa"/>
        <w:right w:w="108" w:type="dxa"/>
      </w:tblCellMar>
    </w:tblPr>
    <w:tcPr>
      <w:textDirection w:val="lrTb"/>
    </w:tcPr>
  </w:style>
  <w:style w:type="paragraph" w:styleId="3">
    <w:name w:val="annotation subject"/>
    <w:basedOn w:val="4"/>
    <w:next w:val="4"/>
    <w:semiHidden/>
    <w:uiPriority w:val="0"/>
    <w:rPr>
      <w:b/>
      <w:bCs/>
    </w:rPr>
  </w:style>
  <w:style w:type="paragraph" w:styleId="4">
    <w:name w:val="annotation text"/>
    <w:basedOn w:val="1"/>
    <w:semiHidden/>
    <w:uiPriority w:val="0"/>
    <w:pPr>
      <w:jc w:val="left"/>
    </w:pPr>
  </w:style>
  <w:style w:type="paragraph" w:styleId="5">
    <w:name w:val="Document Map"/>
    <w:basedOn w:val="1"/>
    <w:link w:val="20"/>
    <w:unhideWhenUsed/>
    <w:uiPriority w:val="99"/>
    <w:rPr>
      <w:rFonts w:ascii="宋体"/>
      <w:sz w:val="18"/>
      <w:szCs w:val="18"/>
    </w:rPr>
  </w:style>
  <w:style w:type="paragraph" w:styleId="6">
    <w:name w:val="Date"/>
    <w:basedOn w:val="1"/>
    <w:next w:val="1"/>
    <w:link w:val="17"/>
    <w:unhideWhenUsed/>
    <w:uiPriority w:val="99"/>
    <w:pPr>
      <w:ind w:left="100" w:leftChars="2500"/>
    </w:pPr>
  </w:style>
  <w:style w:type="paragraph" w:styleId="7">
    <w:name w:val="Balloon Text"/>
    <w:basedOn w:val="1"/>
    <w:semiHidden/>
    <w:uiPriority w:val="0"/>
    <w:rPr>
      <w:sz w:val="18"/>
      <w:szCs w:val="18"/>
    </w:rPr>
  </w:style>
  <w:style w:type="paragraph" w:styleId="8">
    <w:name w:val="footer"/>
    <w:basedOn w:val="1"/>
    <w:link w:val="18"/>
    <w:unhideWhenUsed/>
    <w:uiPriority w:val="99"/>
    <w:pPr>
      <w:tabs>
        <w:tab w:val="center" w:pos="4153"/>
        <w:tab w:val="right" w:pos="8306"/>
      </w:tabs>
      <w:snapToGrid w:val="0"/>
      <w:jc w:val="left"/>
    </w:pPr>
    <w:rPr>
      <w:kern w:val="0"/>
      <w:sz w:val="18"/>
      <w:szCs w:val="18"/>
    </w:rPr>
  </w:style>
  <w:style w:type="paragraph" w:styleId="9">
    <w:name w:val="header"/>
    <w:basedOn w:val="1"/>
    <w:link w:val="16"/>
    <w:unhideWhenUsed/>
    <w:uiPriority w:val="99"/>
    <w:pPr>
      <w:pBdr>
        <w:bottom w:val="single" w:color="auto" w:sz="6" w:space="1"/>
      </w:pBdr>
      <w:tabs>
        <w:tab w:val="center" w:pos="4153"/>
        <w:tab w:val="right" w:pos="8306"/>
      </w:tabs>
      <w:snapToGrid w:val="0"/>
      <w:jc w:val="center"/>
    </w:pPr>
    <w:rPr>
      <w:kern w:val="0"/>
      <w:sz w:val="18"/>
      <w:szCs w:val="18"/>
    </w:rPr>
  </w:style>
  <w:style w:type="character" w:styleId="11">
    <w:name w:val="Hyperlink"/>
    <w:unhideWhenUsed/>
    <w:uiPriority w:val="99"/>
    <w:rPr>
      <w:color w:val="136EC2"/>
      <w:u w:val="single"/>
    </w:rPr>
  </w:style>
  <w:style w:type="character" w:styleId="12">
    <w:name w:val="annotation reference"/>
    <w:semiHidden/>
    <w:uiPriority w:val="0"/>
    <w:rPr>
      <w:sz w:val="21"/>
      <w:szCs w:val="21"/>
    </w:rPr>
  </w:style>
  <w:style w:type="table" w:styleId="14">
    <w:name w:val="Table Grid"/>
    <w:basedOn w:val="13"/>
    <w:unhideWhenUsed/>
    <w:uiPriority w:val="99"/>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5">
    <w:name w:val="Revision"/>
    <w:semiHidden/>
    <w:uiPriority w:val="99"/>
    <w:rPr>
      <w:rFonts w:ascii="Times New Roman" w:hAnsi="Times New Roman" w:eastAsia="宋体" w:cs="Times New Roman"/>
      <w:kern w:val="2"/>
      <w:sz w:val="21"/>
      <w:szCs w:val="24"/>
      <w:lang w:val="en-US" w:eastAsia="zh-CN" w:bidi="ar-SA"/>
    </w:rPr>
  </w:style>
  <w:style w:type="character" w:customStyle="1" w:styleId="16">
    <w:name w:val="页眉 Char"/>
    <w:link w:val="9"/>
    <w:uiPriority w:val="99"/>
    <w:rPr>
      <w:rFonts w:ascii="Times New Roman" w:hAnsi="Times New Roman" w:eastAsia="宋体" w:cs="Times New Roman"/>
      <w:sz w:val="18"/>
      <w:szCs w:val="18"/>
    </w:rPr>
  </w:style>
  <w:style w:type="character" w:customStyle="1" w:styleId="17">
    <w:name w:val="日期 Char"/>
    <w:link w:val="6"/>
    <w:semiHidden/>
    <w:uiPriority w:val="99"/>
    <w:rPr>
      <w:rFonts w:ascii="Times New Roman" w:hAnsi="Times New Roman"/>
      <w:kern w:val="2"/>
      <w:sz w:val="21"/>
      <w:szCs w:val="24"/>
    </w:rPr>
  </w:style>
  <w:style w:type="character" w:customStyle="1" w:styleId="18">
    <w:name w:val="页脚 Char"/>
    <w:link w:val="8"/>
    <w:uiPriority w:val="99"/>
    <w:rPr>
      <w:rFonts w:ascii="Times New Roman" w:hAnsi="Times New Roman" w:eastAsia="宋体" w:cs="Times New Roman"/>
      <w:sz w:val="18"/>
      <w:szCs w:val="18"/>
    </w:rPr>
  </w:style>
  <w:style w:type="character" w:customStyle="1" w:styleId="19">
    <w:name w:val="标题 3 Char"/>
    <w:link w:val="2"/>
    <w:uiPriority w:val="9"/>
    <w:rPr>
      <w:rFonts w:ascii="宋体" w:hAnsi="宋体" w:eastAsia="宋体" w:cs="宋体"/>
      <w:b/>
      <w:bCs/>
      <w:kern w:val="0"/>
      <w:sz w:val="27"/>
      <w:szCs w:val="27"/>
    </w:rPr>
  </w:style>
  <w:style w:type="character" w:customStyle="1" w:styleId="20">
    <w:name w:val="文档结构图 Char"/>
    <w:link w:val="5"/>
    <w:semiHidden/>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2015-09-29&#20840;&#22269;&#30740;&#31350;&#29983;&#35770;&#22363;1&#21495;&#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2015-09-29全国研究生论坛1号通知.dot</Template>
  <Pages>3</Pages>
  <Words>297</Words>
  <Characters>1698</Characters>
  <Lines>14</Lines>
  <Paragraphs>3</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2015-09-30T01:50:00Z</dcterms:created>
  <dc:creator>shenlong</dc:creator>
  <cp:lastModifiedBy>ZJ</cp:lastModifiedBy>
  <cp:lastPrinted>2014-07-07T01:42:00Z</cp:lastPrinted>
  <dcterms:modified xsi:type="dcterms:W3CDTF">2015-09-30T04:29:57Z</dcterms:modified>
  <dc:title>土木工程安全与创新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